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9F" w:rsidRDefault="003B36B0" w:rsidP="007156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5pt;margin-top:0;width:81pt;height:81pt;z-index:251657216" stroked="f">
            <v:textbox style="mso-next-textbox:#_x0000_s1034" inset="0,0,0,0">
              <w:txbxContent>
                <w:p w:rsidR="0071569E" w:rsidRDefault="009C34F7">
                  <w:r>
                    <w:rPr>
                      <w:noProof/>
                    </w:rPr>
                    <w:drawing>
                      <wp:inline distT="0" distB="0" distL="0" distR="0">
                        <wp:extent cx="1047750" cy="105727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9pt;margin-top:0;width:81pt;height:81pt;z-index:251658240" stroked="f">
            <v:textbox style="mso-next-textbox:#_x0000_s1038" inset="0,0,0,0">
              <w:txbxContent>
                <w:p w:rsidR="0071569E" w:rsidRDefault="009C34F7">
                  <w:r>
                    <w:rPr>
                      <w:noProof/>
                    </w:rPr>
                    <w:drawing>
                      <wp:inline distT="0" distB="0" distL="0" distR="0">
                        <wp:extent cx="1066800" cy="109537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569E" w:rsidRPr="003B36B0" w:rsidRDefault="0071569E" w:rsidP="0071569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B36B0">
        <w:rPr>
          <w:b/>
          <w:bCs/>
          <w:sz w:val="20"/>
          <w:szCs w:val="20"/>
        </w:rPr>
        <w:t>REPÚBLICA FEDERATIVA DO BRASIL</w:t>
      </w:r>
    </w:p>
    <w:p w:rsidR="0071569E" w:rsidRPr="003B36B0" w:rsidRDefault="0071569E" w:rsidP="0071569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B36B0">
        <w:rPr>
          <w:b/>
          <w:bCs/>
          <w:sz w:val="20"/>
          <w:szCs w:val="20"/>
        </w:rPr>
        <w:t>ESTADO DE SANTA CATARINA</w:t>
      </w:r>
    </w:p>
    <w:p w:rsidR="0071569E" w:rsidRPr="003B36B0" w:rsidRDefault="0071569E" w:rsidP="0071569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B36B0">
        <w:rPr>
          <w:b/>
          <w:bCs/>
          <w:sz w:val="20"/>
          <w:szCs w:val="20"/>
        </w:rPr>
        <w:t>UNIVERSIDADE DO ESTADO DE SANTA CATARINA - UDESC</w:t>
      </w:r>
    </w:p>
    <w:p w:rsidR="0071569E" w:rsidRPr="003B36B0" w:rsidRDefault="0071569E" w:rsidP="0071569E">
      <w:pPr>
        <w:jc w:val="center"/>
        <w:rPr>
          <w:b/>
          <w:bCs/>
          <w:sz w:val="20"/>
          <w:szCs w:val="20"/>
        </w:rPr>
      </w:pPr>
      <w:r w:rsidRPr="003B36B0">
        <w:rPr>
          <w:b/>
          <w:bCs/>
          <w:sz w:val="20"/>
          <w:szCs w:val="20"/>
        </w:rPr>
        <w:t>Centro de Educação Superior do Alto Vale do Itajaí - UDESC/CEAVI</w:t>
      </w:r>
    </w:p>
    <w:p w:rsidR="0071569E" w:rsidRDefault="0071569E" w:rsidP="0071569E">
      <w:pPr>
        <w:jc w:val="center"/>
        <w:rPr>
          <w:b/>
          <w:bCs/>
        </w:rPr>
      </w:pP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340"/>
        <w:gridCol w:w="1340"/>
        <w:gridCol w:w="320"/>
        <w:gridCol w:w="1180"/>
        <w:gridCol w:w="1660"/>
        <w:gridCol w:w="1440"/>
        <w:gridCol w:w="2560"/>
      </w:tblGrid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 DE ENSINO E APRENDIZAGEM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CIÊNCIAS CONTÁBEIS</w:t>
            </w:r>
          </w:p>
          <w:p w:rsidR="005828E1" w:rsidRDefault="005828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DISCIPLINA:</w:t>
            </w:r>
            <w:r w:rsidR="00757449">
              <w:rPr>
                <w:b/>
                <w:bCs/>
                <w:sz w:val="20"/>
                <w:szCs w:val="20"/>
              </w:rPr>
              <w:t xml:space="preserve">                                   PRÉ-REQUISITO: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SIGLA: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HORÁRIA:</w:t>
            </w:r>
          </w:p>
        </w:tc>
      </w:tr>
      <w:tr w:rsidR="00757449">
        <w:trPr>
          <w:trHeight w:val="300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49" w:rsidRDefault="00757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CONTABILIDADE GERENCIAL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49" w:rsidRDefault="00757449" w:rsidP="0075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49" w:rsidRDefault="0075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49" w:rsidRDefault="0075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HORAS</w:t>
            </w:r>
          </w:p>
        </w:tc>
      </w:tr>
      <w:tr w:rsid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PROFESSOR:</w:t>
            </w:r>
          </w:p>
        </w:tc>
        <w:tc>
          <w:tcPr>
            <w:tcW w:w="400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</w:tr>
      <w:tr w:rsidR="00875F93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PEDRO BENVENUTTI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LPEDRO@UNIFEBE.EDU.BR</w:t>
            </w:r>
          </w:p>
        </w:tc>
      </w:tr>
      <w:tr w:rsid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72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CURSO(S):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SEMESTRE/ANO:</w:t>
            </w:r>
          </w:p>
        </w:tc>
      </w:tr>
      <w:tr w:rsidR="00875F93">
        <w:trPr>
          <w:trHeight w:val="300"/>
        </w:trPr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BACHARELADO EM CIÊNCIAS CONTÁBEIS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49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F93">
              <w:rPr>
                <w:sz w:val="20"/>
                <w:szCs w:val="20"/>
              </w:rPr>
              <w:t>º/201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 GERAL DO CURSO:</w:t>
            </w:r>
          </w:p>
        </w:tc>
      </w:tr>
      <w:tr w:rsidR="00875F93">
        <w:trPr>
          <w:trHeight w:val="9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      </w:r>
          </w:p>
        </w:tc>
      </w:tr>
      <w:tr w:rsidR="00875F93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Pr="00875F93" w:rsidRDefault="00875F93">
            <w:pPr>
              <w:jc w:val="center"/>
              <w:rPr>
                <w:b/>
                <w:bCs/>
                <w:sz w:val="16"/>
                <w:szCs w:val="16"/>
              </w:rPr>
            </w:pPr>
            <w:r w:rsidRPr="00875F9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EMENTA:</w:t>
            </w:r>
          </w:p>
        </w:tc>
      </w:tr>
      <w:tr w:rsidR="00875F93">
        <w:trPr>
          <w:trHeight w:val="9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Contabilidade Gerencial e os Princípios Contábeis. Demonstrações Financeiras – uso gerencial. Indicadores Financeiros.  Origens e Aplicações de Recursos e Mutações Patrimoniais. Equivalência Patrimonial. Consolidação das Demonstrações Financeiras.</w:t>
            </w:r>
          </w:p>
        </w:tc>
      </w:tr>
      <w:tr w:rsidR="00875F93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Pr="00875F93" w:rsidRDefault="00875F93">
            <w:pPr>
              <w:jc w:val="center"/>
              <w:rPr>
                <w:sz w:val="16"/>
                <w:szCs w:val="16"/>
              </w:rPr>
            </w:pPr>
            <w:r w:rsidRPr="00875F93">
              <w:rPr>
                <w:sz w:val="16"/>
                <w:szCs w:val="16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 GERAL DA DISCIPLINA: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Compreender os aspectos gerenciais da informação contábil.</w:t>
            </w:r>
          </w:p>
        </w:tc>
      </w:tr>
      <w:tr w:rsidR="00875F93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Pr="00875F93" w:rsidRDefault="00875F93">
            <w:pPr>
              <w:jc w:val="center"/>
              <w:rPr>
                <w:sz w:val="16"/>
                <w:szCs w:val="16"/>
              </w:rPr>
            </w:pPr>
            <w:r w:rsidRPr="00875F93">
              <w:rPr>
                <w:sz w:val="16"/>
                <w:szCs w:val="16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OBJETIVOS ESPECÍFICOS DA DISCIPLINA: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5F93">
        <w:trPr>
          <w:trHeight w:val="169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505A83">
              <w:rPr>
                <w:sz w:val="20"/>
                <w:szCs w:val="20"/>
              </w:rPr>
              <w:t xml:space="preserve">Contextualizar </w:t>
            </w:r>
            <w:r>
              <w:rPr>
                <w:sz w:val="20"/>
                <w:szCs w:val="20"/>
              </w:rPr>
              <w:t>a contabilidade gerencial no ambiente empresarial: objetivos,</w:t>
            </w:r>
            <w:r w:rsidR="00505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usuários, aplicação, relação com a </w:t>
            </w:r>
            <w:r w:rsidR="00C237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contabilidade financeira, uso gerencial da informação.</w:t>
            </w:r>
            <w:r>
              <w:rPr>
                <w:sz w:val="20"/>
                <w:szCs w:val="20"/>
              </w:rPr>
              <w:br/>
              <w:t xml:space="preserve"> - Discutir e analisar decisões gerenciais relativas a custos, preços e lucro.</w:t>
            </w:r>
            <w:r>
              <w:rPr>
                <w:sz w:val="20"/>
                <w:szCs w:val="20"/>
              </w:rPr>
              <w:br/>
              <w:t xml:space="preserve"> - Entender a aplicação dos princípios contábeis nas decisões gerenciais.</w:t>
            </w:r>
            <w:r>
              <w:rPr>
                <w:sz w:val="20"/>
                <w:szCs w:val="20"/>
              </w:rPr>
              <w:br/>
              <w:t xml:space="preserve"> - Aplicar a contabilidade gerencial com a utilização das demonstrações financeiras.</w:t>
            </w:r>
            <w:r>
              <w:rPr>
                <w:sz w:val="20"/>
                <w:szCs w:val="20"/>
              </w:rPr>
              <w:br/>
              <w:t xml:space="preserve"> - Exercitar o processo decisório gerencial por meio de indicadores financeiros.</w:t>
            </w:r>
          </w:p>
        </w:tc>
      </w:tr>
      <w:tr w:rsidR="00875F93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Pr="00875F93" w:rsidRDefault="00875F93">
            <w:pPr>
              <w:jc w:val="center"/>
              <w:rPr>
                <w:color w:val="FF0000"/>
                <w:sz w:val="16"/>
                <w:szCs w:val="16"/>
              </w:rPr>
            </w:pPr>
            <w:r w:rsidRPr="00875F9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CONTEÚDO PROGRAMÁTICO</w:t>
            </w:r>
            <w:r w:rsidR="0031625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75F9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Conteúdo</w:t>
            </w: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49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  <w:r w:rsidR="00C2372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2/2015</w:t>
            </w:r>
            <w:r w:rsidR="00875F93"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>- Contextualização da contabilidade gerencial</w:t>
            </w:r>
            <w:r>
              <w:rPr>
                <w:sz w:val="20"/>
                <w:szCs w:val="20"/>
              </w:rPr>
              <w:br/>
              <w:t>- Contabilidade gerencial versus contabilidade financeira</w:t>
            </w:r>
            <w:r>
              <w:rPr>
                <w:sz w:val="20"/>
                <w:szCs w:val="20"/>
              </w:rPr>
              <w:br/>
              <w:t>- Aspectos gerenciais da informação contábil</w:t>
            </w:r>
          </w:p>
          <w:p w:rsidR="006A504C" w:rsidRDefault="006A504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O ambiente empresarial e os objetivos da contabilidade gerencial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6A5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028E0">
              <w:rPr>
                <w:sz w:val="20"/>
                <w:szCs w:val="20"/>
              </w:rPr>
              <w:t>2</w:t>
            </w:r>
            <w:r w:rsidR="00875F93">
              <w:rPr>
                <w:sz w:val="20"/>
                <w:szCs w:val="20"/>
              </w:rPr>
              <w:t>/0</w:t>
            </w:r>
            <w:r w:rsidR="004968F3">
              <w:rPr>
                <w:sz w:val="20"/>
                <w:szCs w:val="20"/>
              </w:rPr>
              <w:t>3/2015</w:t>
            </w:r>
            <w:r w:rsidR="00875F93">
              <w:rPr>
                <w:sz w:val="20"/>
                <w:szCs w:val="20"/>
              </w:rPr>
              <w:t xml:space="preserve"> </w:t>
            </w:r>
            <w:r w:rsidR="00372087">
              <w:rPr>
                <w:sz w:val="20"/>
                <w:szCs w:val="20"/>
              </w:rPr>
              <w:t>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372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</w:t>
            </w:r>
            <w:r w:rsidR="00875F93">
              <w:rPr>
                <w:sz w:val="20"/>
                <w:szCs w:val="20"/>
              </w:rPr>
              <w:t xml:space="preserve">h - </w:t>
            </w:r>
            <w:r>
              <w:rPr>
                <w:sz w:val="20"/>
                <w:szCs w:val="20"/>
              </w:rPr>
              <w:t>22</w:t>
            </w:r>
            <w:r w:rsidR="00875F9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  <w:r w:rsidR="00875F93">
              <w:rPr>
                <w:sz w:val="20"/>
                <w:szCs w:val="20"/>
              </w:rPr>
              <w:t>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 xml:space="preserve">- </w:t>
            </w:r>
            <w:r w:rsidR="006A504C">
              <w:rPr>
                <w:sz w:val="20"/>
                <w:szCs w:val="20"/>
              </w:rPr>
              <w:t xml:space="preserve">Lista de exercícios </w:t>
            </w:r>
            <w:r w:rsidR="000028E0">
              <w:rPr>
                <w:sz w:val="20"/>
                <w:szCs w:val="20"/>
              </w:rPr>
              <w:t>sobre contabilidade gerencial</w:t>
            </w:r>
          </w:p>
          <w:p w:rsidR="00095433" w:rsidRDefault="0009543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Decisões gerenciais acerca de custos, preços e lucro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A30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68F3">
              <w:rPr>
                <w:sz w:val="20"/>
                <w:szCs w:val="20"/>
              </w:rPr>
              <w:t>9</w:t>
            </w:r>
            <w:r w:rsidR="00AD55E6">
              <w:rPr>
                <w:sz w:val="20"/>
                <w:szCs w:val="20"/>
              </w:rPr>
              <w:t>/0</w:t>
            </w:r>
            <w:r w:rsidR="004968F3">
              <w:rPr>
                <w:sz w:val="20"/>
                <w:szCs w:val="20"/>
              </w:rPr>
              <w:t>3/2015</w:t>
            </w:r>
            <w:r w:rsidR="00AD55E6"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8D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</w:r>
            <w:r w:rsidR="00EC678D">
              <w:rPr>
                <w:sz w:val="20"/>
                <w:szCs w:val="20"/>
              </w:rPr>
              <w:t>- Decisões gerenciais acerca de custos, preços e lucro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68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/0</w:t>
            </w:r>
            <w:r w:rsidR="004968F3">
              <w:rPr>
                <w:sz w:val="20"/>
                <w:szCs w:val="20"/>
              </w:rPr>
              <w:t>3/2015</w:t>
            </w:r>
            <w:r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>- Decisões gerenciais acerca de custos, preços e lucro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4968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D55E6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3/2015</w:t>
            </w:r>
            <w:r w:rsidR="00AD55E6"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>- Decisões gerenciais apoiadas nos princípios contábeis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23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4968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D55E6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3/2015</w:t>
            </w:r>
            <w:r w:rsidR="00AD55E6"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Avaliação 1 (prova escrita sem consulta)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6A5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68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/0</w:t>
            </w:r>
            <w:r w:rsidR="004968F3">
              <w:rPr>
                <w:sz w:val="20"/>
                <w:szCs w:val="20"/>
              </w:rPr>
              <w:t>4/2015</w:t>
            </w:r>
            <w:r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Origens e aplicações de recursos e mutações patrimoniais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4968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D55E6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4/2015</w:t>
            </w:r>
            <w:r w:rsidR="00AD55E6"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Equivalência patrimonial</w:t>
            </w:r>
            <w:r>
              <w:rPr>
                <w:sz w:val="20"/>
                <w:szCs w:val="20"/>
              </w:rPr>
              <w:br/>
              <w:t>- Consolidação das demonstrações financeiras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276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4968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D55E6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4/2015</w:t>
            </w:r>
            <w:r w:rsidR="00AD55E6"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Projeção de demonstrações financeiras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4968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AD55E6">
              <w:rPr>
                <w:sz w:val="20"/>
                <w:szCs w:val="20"/>
              </w:rPr>
              <w:t>/</w:t>
            </w:r>
            <w:r w:rsidR="00AA30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5/2015</w:t>
            </w:r>
            <w:r w:rsidR="00AD55E6"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Projeção de demonstrações financeiras</w:t>
            </w:r>
            <w:r>
              <w:rPr>
                <w:sz w:val="20"/>
                <w:szCs w:val="20"/>
              </w:rPr>
              <w:br/>
              <w:t>- Avaliação da situação econômica e financeira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4968F3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D55E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05/2015</w:t>
            </w:r>
            <w:r w:rsidR="00AD55E6"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Projeção de demonstrações financeiras</w:t>
            </w:r>
            <w:r>
              <w:rPr>
                <w:sz w:val="20"/>
                <w:szCs w:val="20"/>
              </w:rPr>
              <w:br/>
              <w:t>- Desdobro da taxa de retorno sobre o PL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68F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4968F3">
              <w:rPr>
                <w:sz w:val="20"/>
                <w:szCs w:val="20"/>
              </w:rPr>
              <w:t>05/2015</w:t>
            </w:r>
            <w:r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Avaliação 2 (prova escrita sem consulta)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C274F4">
            <w:pPr>
              <w:jc w:val="center"/>
              <w:rPr>
                <w:sz w:val="20"/>
                <w:szCs w:val="20"/>
              </w:rPr>
            </w:pPr>
          </w:p>
          <w:p w:rsidR="00AD55E6" w:rsidRDefault="00AD55E6" w:rsidP="00C27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8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4968F3">
              <w:rPr>
                <w:sz w:val="20"/>
                <w:szCs w:val="20"/>
              </w:rPr>
              <w:t>05/2015</w:t>
            </w:r>
            <w:r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Decisões financeiras</w:t>
            </w:r>
            <w:r>
              <w:rPr>
                <w:sz w:val="20"/>
                <w:szCs w:val="20"/>
              </w:rPr>
              <w:br/>
              <w:t xml:space="preserve">   - Investimento no ciclo financeiro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Pr="00AD55E6" w:rsidRDefault="00AD55E6" w:rsidP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68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4968F3">
              <w:rPr>
                <w:sz w:val="20"/>
                <w:szCs w:val="20"/>
              </w:rPr>
              <w:t>06/2015</w:t>
            </w:r>
            <w:r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Decisões financeiras</w:t>
            </w:r>
            <w:r>
              <w:rPr>
                <w:sz w:val="20"/>
                <w:szCs w:val="20"/>
              </w:rPr>
              <w:br/>
              <w:t xml:space="preserve">   - Alteração nos padrões de crédito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4968F3" w:rsidP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D55E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06/2015</w:t>
            </w:r>
            <w:r w:rsidR="00AD55E6"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E6" w:rsidRDefault="00AD55E6" w:rsidP="000D4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Decisões financeiras</w:t>
            </w:r>
            <w:r>
              <w:rPr>
                <w:sz w:val="20"/>
                <w:szCs w:val="20"/>
              </w:rPr>
              <w:br/>
              <w:t xml:space="preserve">   - Alteração nos padrões de crédito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23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68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4968F3">
              <w:rPr>
                <w:sz w:val="20"/>
                <w:szCs w:val="20"/>
              </w:rPr>
              <w:t>06/2015</w:t>
            </w:r>
            <w:r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Decisões financeiras</w:t>
            </w:r>
            <w:r>
              <w:rPr>
                <w:sz w:val="20"/>
                <w:szCs w:val="20"/>
              </w:rPr>
              <w:br/>
              <w:t xml:space="preserve">   - Alteração nas condições de crédito</w:t>
            </w:r>
            <w:r>
              <w:rPr>
                <w:sz w:val="20"/>
                <w:szCs w:val="20"/>
              </w:rPr>
              <w:br/>
              <w:t xml:space="preserve">   - Contas a receber versus estoques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Default="00AD55E6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8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4968F3">
              <w:rPr>
                <w:sz w:val="20"/>
                <w:szCs w:val="20"/>
              </w:rPr>
              <w:t>06/2015</w:t>
            </w:r>
            <w:r>
              <w:rPr>
                <w:sz w:val="20"/>
                <w:szCs w:val="20"/>
              </w:rPr>
              <w:t xml:space="preserve"> 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Default="00AD55E6" w:rsidP="0099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46622D" w:rsidP="00994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Avaliação 3 (estudo de caso sem consulta)</w:t>
            </w:r>
            <w:r>
              <w:rPr>
                <w:sz w:val="20"/>
                <w:szCs w:val="20"/>
              </w:rPr>
              <w:br/>
            </w:r>
            <w:r w:rsidR="00AD55E6">
              <w:rPr>
                <w:sz w:val="20"/>
                <w:szCs w:val="20"/>
              </w:rPr>
              <w:t xml:space="preserve">  </w:t>
            </w:r>
          </w:p>
        </w:tc>
      </w:tr>
      <w:tr w:rsidR="00AD55E6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5E6" w:rsidRDefault="00AD55E6" w:rsidP="00994839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5E6" w:rsidRDefault="00AD55E6" w:rsidP="009948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55E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Pr="004968F3" w:rsidRDefault="00AD55E6">
            <w:pPr>
              <w:jc w:val="center"/>
              <w:rPr>
                <w:sz w:val="20"/>
                <w:szCs w:val="20"/>
              </w:rPr>
            </w:pPr>
            <w:r w:rsidRPr="004968F3">
              <w:rPr>
                <w:sz w:val="20"/>
                <w:szCs w:val="20"/>
              </w:rPr>
              <w:t>1</w:t>
            </w:r>
            <w:r w:rsidR="00C43D9B" w:rsidRPr="004968F3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6" w:rsidRPr="004968F3" w:rsidRDefault="004968F3" w:rsidP="00A25916">
            <w:pPr>
              <w:jc w:val="center"/>
              <w:rPr>
                <w:sz w:val="20"/>
                <w:szCs w:val="20"/>
              </w:rPr>
            </w:pPr>
            <w:r w:rsidRPr="004968F3">
              <w:rPr>
                <w:sz w:val="20"/>
                <w:szCs w:val="20"/>
              </w:rPr>
              <w:t>29</w:t>
            </w:r>
            <w:r w:rsidR="00AD55E6" w:rsidRPr="004968F3">
              <w:rPr>
                <w:sz w:val="20"/>
                <w:szCs w:val="20"/>
              </w:rPr>
              <w:t>/</w:t>
            </w:r>
            <w:r w:rsidRPr="004968F3">
              <w:rPr>
                <w:sz w:val="20"/>
                <w:szCs w:val="20"/>
              </w:rPr>
              <w:t>06/2015</w:t>
            </w:r>
            <w:r w:rsidR="00AD55E6" w:rsidRPr="004968F3">
              <w:rPr>
                <w:sz w:val="20"/>
                <w:szCs w:val="20"/>
              </w:rPr>
              <w:t xml:space="preserve"> </w:t>
            </w:r>
            <w:r w:rsidR="004A325C" w:rsidRPr="004968F3">
              <w:rPr>
                <w:sz w:val="20"/>
                <w:szCs w:val="20"/>
              </w:rPr>
              <w:t>Segunda-feira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5E6" w:rsidRPr="004968F3" w:rsidRDefault="00A25916">
            <w:pPr>
              <w:jc w:val="center"/>
              <w:rPr>
                <w:sz w:val="20"/>
                <w:szCs w:val="20"/>
              </w:rPr>
            </w:pPr>
            <w:r w:rsidRPr="004968F3">
              <w:rPr>
                <w:sz w:val="20"/>
                <w:szCs w:val="20"/>
              </w:rPr>
              <w:t>8:00h - 11:30h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55E6" w:rsidRDefault="0046622D">
            <w:pPr>
              <w:rPr>
                <w:b/>
                <w:bCs/>
                <w:sz w:val="20"/>
                <w:szCs w:val="20"/>
              </w:rPr>
            </w:pPr>
            <w:r w:rsidRPr="004968F3">
              <w:rPr>
                <w:b/>
                <w:bCs/>
                <w:sz w:val="20"/>
                <w:szCs w:val="20"/>
              </w:rPr>
              <w:t>Indicadores financeiros</w:t>
            </w:r>
            <w:r w:rsidRPr="004968F3">
              <w:rPr>
                <w:sz w:val="20"/>
                <w:szCs w:val="20"/>
              </w:rPr>
              <w:br/>
              <w:t xml:space="preserve">   - Indicadores de insolvência</w:t>
            </w:r>
            <w:r w:rsidR="00AD55E6">
              <w:rPr>
                <w:sz w:val="20"/>
                <w:szCs w:val="20"/>
              </w:rPr>
              <w:br/>
              <w:t xml:space="preserve">  </w:t>
            </w:r>
          </w:p>
        </w:tc>
      </w:tr>
      <w:tr w:rsidR="0032045E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3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32045E" w:rsidRPr="00875F93" w:rsidRDefault="0032045E">
            <w:pPr>
              <w:jc w:val="both"/>
              <w:rPr>
                <w:color w:val="FF0000"/>
                <w:sz w:val="16"/>
                <w:szCs w:val="16"/>
              </w:rPr>
            </w:pPr>
            <w:r w:rsidRPr="00875F9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METODOLOGIA PROPOSTA:</w:t>
            </w: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Aulas expositivas e dialogadas. Resolução de exercícios. Estudos de caso. </w:t>
            </w: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AVALIAÇÃO:</w:t>
            </w:r>
          </w:p>
        </w:tc>
      </w:tr>
      <w:tr w:rsidR="0032045E">
        <w:trPr>
          <w:trHeight w:val="58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Serão realizadas três avaliações sem consulta no semestre, todas com peso 1. Os critérios de avaliação de cada um dos instrumentos avaliativos são os seguintes:</w:t>
            </w: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Prova escrita</w:t>
            </w:r>
            <w:r>
              <w:rPr>
                <w:sz w:val="20"/>
                <w:szCs w:val="20"/>
              </w:rPr>
              <w:br/>
              <w:t>- Demonstração de domínio dos conceitos teóricos.</w:t>
            </w:r>
            <w:r>
              <w:rPr>
                <w:sz w:val="20"/>
                <w:szCs w:val="20"/>
              </w:rPr>
              <w:br/>
              <w:t>- Clareza e objetividade.</w:t>
            </w:r>
            <w:r>
              <w:rPr>
                <w:sz w:val="20"/>
                <w:szCs w:val="20"/>
              </w:rPr>
              <w:br/>
              <w:t>- Uso de linguagem adequada.</w:t>
            </w:r>
            <w:r>
              <w:rPr>
                <w:sz w:val="20"/>
                <w:szCs w:val="20"/>
              </w:rPr>
              <w:br/>
              <w:t>- Redação legível.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Estudo de caso</w:t>
            </w:r>
            <w:r>
              <w:rPr>
                <w:sz w:val="20"/>
                <w:szCs w:val="20"/>
              </w:rPr>
              <w:br/>
              <w:t>- Coerência na interpretação do caso estudado.</w:t>
            </w:r>
            <w:r>
              <w:rPr>
                <w:sz w:val="20"/>
                <w:szCs w:val="20"/>
              </w:rPr>
              <w:br/>
              <w:t>- Uso dos conceitos teóricos na solução de problemas.</w:t>
            </w:r>
            <w:r>
              <w:rPr>
                <w:sz w:val="20"/>
                <w:szCs w:val="20"/>
              </w:rPr>
              <w:br/>
              <w:t>- Capacidade de elaboração de síntese.</w:t>
            </w:r>
            <w:r>
              <w:rPr>
                <w:sz w:val="20"/>
                <w:szCs w:val="20"/>
              </w:rPr>
              <w:br/>
              <w:t>- Proposição de alternativas coerentes com a prescrição do caso.</w:t>
            </w:r>
            <w:r>
              <w:rPr>
                <w:sz w:val="20"/>
                <w:szCs w:val="20"/>
              </w:rPr>
              <w:br/>
              <w:t>- Uso de linguagem adequada.</w:t>
            </w:r>
          </w:p>
        </w:tc>
      </w:tr>
      <w:tr w:rsidR="0032045E">
        <w:trPr>
          <w:trHeight w:val="240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30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Obs.: </w:t>
            </w:r>
            <w:r>
              <w:rPr>
                <w:sz w:val="20"/>
                <w:szCs w:val="20"/>
              </w:rPr>
              <w:t>As datas das avaliações poderão sofrer alterações.</w:t>
            </w:r>
          </w:p>
        </w:tc>
      </w:tr>
      <w:tr w:rsidR="0032045E">
        <w:trPr>
          <w:trHeight w:val="139"/>
        </w:trPr>
        <w:tc>
          <w:tcPr>
            <w:tcW w:w="1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2045E" w:rsidRDefault="0032045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REFERÊNCIAS:</w:t>
            </w: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Referências básicas</w:t>
            </w:r>
          </w:p>
        </w:tc>
      </w:tr>
      <w:tr w:rsidR="0032045E">
        <w:trPr>
          <w:trHeight w:val="750"/>
        </w:trPr>
        <w:tc>
          <w:tcPr>
            <w:tcW w:w="9840" w:type="dxa"/>
            <w:gridSpan w:val="7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D442A" w:rsidRDefault="0032045E">
            <w:pPr>
              <w:rPr>
                <w:sz w:val="20"/>
                <w:szCs w:val="20"/>
              </w:rPr>
            </w:pPr>
            <w:r w:rsidRPr="00875F93">
              <w:rPr>
                <w:sz w:val="20"/>
                <w:szCs w:val="20"/>
                <w:lang w:val="en-US"/>
              </w:rPr>
              <w:t xml:space="preserve">ATKINSON, Anthony A. et al. </w:t>
            </w:r>
            <w:r>
              <w:rPr>
                <w:sz w:val="20"/>
                <w:szCs w:val="20"/>
              </w:rPr>
              <w:t>Contabilidade gerencial. 2. ed. São Paulo: Atlas, 2008. Número de Chamada: 658.1511 C759</w:t>
            </w:r>
            <w:r>
              <w:rPr>
                <w:sz w:val="20"/>
                <w:szCs w:val="20"/>
              </w:rPr>
              <w:br/>
            </w:r>
          </w:p>
          <w:p w:rsidR="0032045E" w:rsidRDefault="000D442A">
            <w:pPr>
              <w:rPr>
                <w:sz w:val="20"/>
                <w:szCs w:val="20"/>
              </w:rPr>
            </w:pPr>
            <w:r w:rsidRPr="000D442A">
              <w:rPr>
                <w:sz w:val="20"/>
                <w:szCs w:val="20"/>
              </w:rPr>
              <w:t xml:space="preserve">GITMAN, Lawrence J. Princípios de administração financeira. </w:t>
            </w:r>
            <w:r w:rsidRPr="000D442A">
              <w:rPr>
                <w:sz w:val="20"/>
                <w:szCs w:val="20"/>
                <w:lang w:val="en-US"/>
              </w:rPr>
              <w:t xml:space="preserve">12. ed. </w:t>
            </w:r>
            <w:smartTag w:uri="urn:schemas-microsoft-com:office:smarttags" w:element="place">
              <w:smartTag w:uri="urn:schemas-microsoft-com:office:smarttags" w:element="City">
                <w:r w:rsidRPr="000D442A">
                  <w:rPr>
                    <w:sz w:val="20"/>
                    <w:szCs w:val="20"/>
                    <w:lang w:val="en-US"/>
                  </w:rPr>
                  <w:t>São Paulo</w:t>
                </w:r>
              </w:smartTag>
            </w:smartTag>
            <w:r w:rsidRPr="000D442A">
              <w:rPr>
                <w:sz w:val="20"/>
                <w:szCs w:val="20"/>
                <w:lang w:val="en-US"/>
              </w:rPr>
              <w:t xml:space="preserve">: Pearson Addison Wesley, 2010. </w:t>
            </w:r>
            <w:r>
              <w:rPr>
                <w:sz w:val="20"/>
                <w:szCs w:val="20"/>
              </w:rPr>
              <w:t>Número de Chamada: 658.15 G536p 12.ed</w:t>
            </w:r>
            <w:r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 xml:space="preserve">JIAMBALVO, James. Contabilidade gerencial. 3.ed. Rio de Janeiro: LTC, 2009. Número de Chamada: 658.1511 J61c </w:t>
            </w:r>
          </w:p>
          <w:p w:rsidR="000D442A" w:rsidRDefault="000D442A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6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67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32045E" w:rsidRDefault="0032045E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Referências complementares</w:t>
            </w: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42A" w:rsidRDefault="00320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ASSAF NETO, Alexandre; SILVA, Cesar Augusto Tiburcio. Administração do capital de giro. 3.ed. São Paulo: Atlas, 2002. Número de Chamada: 658.15244 A844a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CREPALDI, Silvio Aparecido. Contabilidade gerencial: teoria e prática. 4.ed. São Paulo: Atlas, 2008. Número de Chamada: 658.1511 C917c</w:t>
            </w:r>
          </w:p>
          <w:p w:rsidR="000D442A" w:rsidRDefault="000D442A">
            <w:pPr>
              <w:rPr>
                <w:sz w:val="20"/>
                <w:szCs w:val="20"/>
              </w:rPr>
            </w:pPr>
          </w:p>
          <w:p w:rsidR="000D442A" w:rsidRDefault="000D4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GARRISON, Ray H.; NOREEN, Eric W.; BREWER, Peter C. Contabilidade gerencial. 11.ed. Rio de Janeiro: LTC, 2007. Número de Chamada: 658.1511 G242c</w:t>
            </w:r>
            <w:r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 xml:space="preserve">HORNGREN, Charles T.; SUNDEM, Gary L; STRATTON, William O. Contabilidade gerencial. 12. ed. São Paulo: Prentice Hall, 2004. Número de Chamada: 658.1511 H816c </w:t>
            </w:r>
            <w:r w:rsidR="0032045E"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>IUDÍCIBUS, Sérgio de. Análise de balanços. 10. ed. São Paulo: Atlas, 2009. Número de Chamada: 657.3 I92a</w:t>
            </w:r>
            <w:r w:rsidR="0032045E"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>IUDÍCIBUS, Sérgio de. Contabilidade gerencial. 6. ed. São Paulo: Atlas, 1998. Número de Chamada: 658.1511 I92c</w:t>
            </w:r>
            <w:r w:rsidR="0032045E"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>MATARAZZO, Dante C. Análise financeira de balanços: abordagem básica e gerencial. 7. ed. São Paulo: Atlas, 2010. Número de Chamada: 658.15 M425a</w:t>
            </w:r>
            <w:r w:rsidR="0032045E"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>PADOVEZE, Clóvis Luís. Contabilidade gerencial: um enfoque em sistema de informação contábil. 4. ed. São Paulo: Atlas, 2004. Número de Chamada: 658.1511 P124c</w:t>
            </w:r>
            <w:r w:rsidR="0032045E">
              <w:rPr>
                <w:sz w:val="20"/>
                <w:szCs w:val="20"/>
              </w:rPr>
              <w:br/>
            </w:r>
            <w:r w:rsidR="0032045E">
              <w:rPr>
                <w:sz w:val="20"/>
                <w:szCs w:val="20"/>
              </w:rPr>
              <w:br/>
              <w:t xml:space="preserve">SILVA, José Pereira da. Análise financeira das empresas. 9.ed. São Paulo: Atlas, 2008. Número de Chamada: 658.15 </w:t>
            </w:r>
          </w:p>
          <w:p w:rsidR="0032045E" w:rsidRDefault="00320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S586a</w:t>
            </w:r>
          </w:p>
          <w:p w:rsidR="000D442A" w:rsidRDefault="000D442A">
            <w:pPr>
              <w:rPr>
                <w:sz w:val="20"/>
                <w:szCs w:val="20"/>
              </w:rPr>
            </w:pPr>
          </w:p>
          <w:p w:rsidR="000D442A" w:rsidRDefault="000D4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WARREN, Carl S; REEVE, James M; FESS, Philip E. Contabilidade gerencial. 2. ed. são Paulo: Pioneira Thomson </w:t>
            </w:r>
            <w:r>
              <w:rPr>
                <w:sz w:val="20"/>
                <w:szCs w:val="20"/>
              </w:rPr>
              <w:br/>
              <w:t>Learning, 2010. Número de Chamada: 658.1511 W287co</w:t>
            </w: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  <w:tr w:rsidR="0032045E">
        <w:trPr>
          <w:trHeight w:val="230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5E" w:rsidRDefault="0032045E">
            <w:pPr>
              <w:rPr>
                <w:sz w:val="20"/>
                <w:szCs w:val="20"/>
              </w:rPr>
            </w:pPr>
          </w:p>
        </w:tc>
      </w:tr>
    </w:tbl>
    <w:p w:rsidR="00875F93" w:rsidRDefault="00875F93" w:rsidP="00316250">
      <w:pPr>
        <w:jc w:val="center"/>
      </w:pPr>
    </w:p>
    <w:sectPr w:rsidR="00875F93" w:rsidSect="007156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71569E"/>
    <w:rsid w:val="000028E0"/>
    <w:rsid w:val="00095433"/>
    <w:rsid w:val="000D442A"/>
    <w:rsid w:val="00125609"/>
    <w:rsid w:val="002F2C14"/>
    <w:rsid w:val="00310218"/>
    <w:rsid w:val="00316250"/>
    <w:rsid w:val="0032045E"/>
    <w:rsid w:val="00372087"/>
    <w:rsid w:val="003A29E4"/>
    <w:rsid w:val="003B36B0"/>
    <w:rsid w:val="00413027"/>
    <w:rsid w:val="0046622D"/>
    <w:rsid w:val="0047507B"/>
    <w:rsid w:val="004968F3"/>
    <w:rsid w:val="004968FC"/>
    <w:rsid w:val="004A325C"/>
    <w:rsid w:val="00505A83"/>
    <w:rsid w:val="005828E1"/>
    <w:rsid w:val="005A4BF0"/>
    <w:rsid w:val="005C114D"/>
    <w:rsid w:val="006A504C"/>
    <w:rsid w:val="0071569E"/>
    <w:rsid w:val="007452A4"/>
    <w:rsid w:val="00757449"/>
    <w:rsid w:val="007D6026"/>
    <w:rsid w:val="00875F93"/>
    <w:rsid w:val="00990697"/>
    <w:rsid w:val="00994839"/>
    <w:rsid w:val="009C34F7"/>
    <w:rsid w:val="00A25916"/>
    <w:rsid w:val="00AA30F3"/>
    <w:rsid w:val="00AB6BE9"/>
    <w:rsid w:val="00AD55E6"/>
    <w:rsid w:val="00BB355D"/>
    <w:rsid w:val="00C23728"/>
    <w:rsid w:val="00C274F4"/>
    <w:rsid w:val="00C43D9B"/>
    <w:rsid w:val="00DE33F4"/>
    <w:rsid w:val="00EC678D"/>
    <w:rsid w:val="00F1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Luiz Pedro Benvenutti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Pedro Benvenutti</dc:creator>
  <cp:lastModifiedBy>6563015</cp:lastModifiedBy>
  <cp:revision>2</cp:revision>
  <cp:lastPrinted>2014-07-28T12:34:00Z</cp:lastPrinted>
  <dcterms:created xsi:type="dcterms:W3CDTF">2015-02-19T20:15:00Z</dcterms:created>
  <dcterms:modified xsi:type="dcterms:W3CDTF">2015-02-19T20:15:00Z</dcterms:modified>
</cp:coreProperties>
</file>