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6BE9" w:rsidRDefault="005B6BE9">
      <w:pPr>
        <w:jc w:val="center"/>
        <w:rPr>
          <w:sz w:val="20"/>
        </w:rPr>
      </w:pPr>
      <w:r>
        <w:object w:dxaOrig="799" w:dyaOrig="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5.25pt" o:ole="" filled="t">
            <v:fill color2="black"/>
            <v:imagedata r:id="rId5" o:title=""/>
          </v:shape>
          <o:OLEObject Type="Embed" ProgID="PBrush" ShapeID="_x0000_i1025" DrawAspect="Content" ObjectID="_1467457424" r:id="rId6"/>
        </w:object>
      </w:r>
      <w:r>
        <w:rPr>
          <w:sz w:val="20"/>
        </w:rPr>
        <w:t>UNIVERSIDADE DO ESTADO DE SANTA CATARINA – UDESC</w:t>
      </w:r>
      <w:r w:rsidR="00886EC1">
        <w:rPr>
          <w:noProof/>
          <w:lang w:eastAsia="pt-BR"/>
        </w:rPr>
        <w:drawing>
          <wp:anchor distT="0" distB="0" distL="114935" distR="114935" simplePos="0" relativeHeight="251657728" behindDoc="0" locked="0" layoutInCell="1" allowOverlap="1">
            <wp:simplePos x="0" y="0"/>
            <wp:positionH relativeFrom="margin">
              <wp:posOffset>-531495</wp:posOffset>
            </wp:positionH>
            <wp:positionV relativeFrom="margin">
              <wp:posOffset>-97155</wp:posOffset>
            </wp:positionV>
            <wp:extent cx="875665" cy="643255"/>
            <wp:effectExtent l="19050" t="0" r="63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75665" cy="643255"/>
                    </a:xfrm>
                    <a:prstGeom prst="rect">
                      <a:avLst/>
                    </a:prstGeom>
                    <a:solidFill>
                      <a:srgbClr val="FFFFFF"/>
                    </a:solidFill>
                    <a:ln w="9525">
                      <a:noFill/>
                      <a:miter lim="800000"/>
                      <a:headEnd/>
                      <a:tailEnd/>
                    </a:ln>
                  </pic:spPr>
                </pic:pic>
              </a:graphicData>
            </a:graphic>
          </wp:anchor>
        </w:drawing>
      </w:r>
    </w:p>
    <w:p w:rsidR="005B6BE9" w:rsidRDefault="005B6BE9">
      <w:pPr>
        <w:jc w:val="center"/>
        <w:rPr>
          <w:sz w:val="20"/>
        </w:rPr>
      </w:pPr>
      <w:r>
        <w:rPr>
          <w:sz w:val="20"/>
        </w:rPr>
        <w:t>CENTRO DE EDUCAÇÃO SUPERIOR DO ALTO VALE DO ITAJAÍ – CEAVI</w:t>
      </w:r>
    </w:p>
    <w:p w:rsidR="005B6BE9" w:rsidRDefault="005B6BE9">
      <w:pPr>
        <w:jc w:val="center"/>
        <w:rPr>
          <w:sz w:val="20"/>
        </w:rPr>
      </w:pPr>
      <w:r>
        <w:rPr>
          <w:sz w:val="20"/>
        </w:rPr>
        <w:t>DIREÇÃO DE ENSINO – DEN</w:t>
      </w:r>
    </w:p>
    <w:p w:rsidR="005B6BE9" w:rsidRDefault="005B6BE9">
      <w:pPr>
        <w:rPr>
          <w:sz w:val="20"/>
        </w:rPr>
      </w:pPr>
    </w:p>
    <w:p w:rsidR="005B6BE9" w:rsidRDefault="005B6BE9">
      <w:pPr>
        <w:rPr>
          <w:sz w:val="20"/>
        </w:rPr>
      </w:pPr>
    </w:p>
    <w:p w:rsidR="005B6BE9" w:rsidRDefault="005B6BE9">
      <w:pPr>
        <w:pStyle w:val="Ttulo1"/>
        <w:rPr>
          <w:sz w:val="20"/>
        </w:rPr>
      </w:pPr>
      <w:r>
        <w:rPr>
          <w:sz w:val="20"/>
        </w:rPr>
        <w:t>PLANO DE ENSINO</w:t>
      </w:r>
    </w:p>
    <w:p w:rsidR="005B6BE9" w:rsidRDefault="005B6BE9">
      <w:pPr>
        <w:jc w:val="both"/>
        <w:rPr>
          <w:sz w:val="20"/>
        </w:rPr>
      </w:pPr>
    </w:p>
    <w:p w:rsidR="005B6BE9" w:rsidRDefault="005B6BE9">
      <w:pPr>
        <w:pBdr>
          <w:top w:val="single" w:sz="4" w:space="0" w:color="000000"/>
          <w:left w:val="single" w:sz="4" w:space="4" w:color="000000"/>
          <w:bottom w:val="single" w:sz="4" w:space="1" w:color="000000"/>
          <w:right w:val="single" w:sz="4" w:space="4" w:color="000000"/>
        </w:pBdr>
        <w:jc w:val="both"/>
        <w:rPr>
          <w:sz w:val="20"/>
        </w:rPr>
      </w:pPr>
      <w:r>
        <w:rPr>
          <w:b/>
          <w:bCs/>
          <w:sz w:val="20"/>
        </w:rPr>
        <w:t xml:space="preserve">DEPARTAMENTO: </w:t>
      </w:r>
      <w:r>
        <w:rPr>
          <w:bCs/>
          <w:sz w:val="20"/>
        </w:rPr>
        <w:t>CIÊNCIAS CONTÁBEIS</w:t>
      </w:r>
    </w:p>
    <w:p w:rsidR="005B6BE9" w:rsidRDefault="005B6BE9">
      <w:pPr>
        <w:jc w:val="both"/>
        <w:rPr>
          <w:sz w:val="20"/>
        </w:rPr>
      </w:pPr>
    </w:p>
    <w:p w:rsidR="005B6BE9" w:rsidRDefault="005B6BE9">
      <w:pPr>
        <w:pBdr>
          <w:top w:val="single" w:sz="4" w:space="1" w:color="000000"/>
          <w:left w:val="single" w:sz="4" w:space="4" w:color="000000"/>
          <w:bottom w:val="single" w:sz="4" w:space="1" w:color="000000"/>
          <w:right w:val="single" w:sz="4" w:space="4" w:color="000000"/>
        </w:pBdr>
        <w:jc w:val="both"/>
        <w:rPr>
          <w:sz w:val="20"/>
        </w:rPr>
      </w:pPr>
      <w:r>
        <w:rPr>
          <w:b/>
          <w:bCs/>
          <w:sz w:val="20"/>
        </w:rPr>
        <w:t xml:space="preserve">DISCIPLINA: </w:t>
      </w:r>
      <w:r>
        <w:rPr>
          <w:sz w:val="20"/>
        </w:rPr>
        <w:t>Comunicação Acadêmica e Empresarial</w:t>
      </w:r>
      <w:r>
        <w:rPr>
          <w:bCs/>
          <w:sz w:val="20"/>
        </w:rPr>
        <w:t xml:space="preserve">                             </w:t>
      </w:r>
      <w:r>
        <w:rPr>
          <w:b/>
          <w:bCs/>
          <w:sz w:val="20"/>
        </w:rPr>
        <w:t xml:space="preserve">SIGLA: </w:t>
      </w:r>
      <w:r>
        <w:rPr>
          <w:sz w:val="20"/>
        </w:rPr>
        <w:t xml:space="preserve">11CAE   </w:t>
      </w:r>
      <w:r>
        <w:rPr>
          <w:b/>
          <w:sz w:val="20"/>
        </w:rPr>
        <w:t xml:space="preserve"> </w:t>
      </w:r>
    </w:p>
    <w:p w:rsidR="005B6BE9" w:rsidRDefault="005B6BE9">
      <w:pPr>
        <w:jc w:val="both"/>
        <w:rPr>
          <w:sz w:val="20"/>
        </w:rPr>
      </w:pPr>
    </w:p>
    <w:p w:rsidR="005B6BE9" w:rsidRDefault="005B6BE9">
      <w:pPr>
        <w:pBdr>
          <w:top w:val="single" w:sz="4" w:space="1" w:color="000000"/>
          <w:left w:val="single" w:sz="4" w:space="4" w:color="000000"/>
          <w:bottom w:val="single" w:sz="4" w:space="1" w:color="000000"/>
          <w:right w:val="single" w:sz="4" w:space="4" w:color="000000"/>
        </w:pBdr>
        <w:jc w:val="both"/>
        <w:rPr>
          <w:b/>
          <w:bCs/>
          <w:caps/>
          <w:sz w:val="20"/>
        </w:rPr>
      </w:pPr>
      <w:r>
        <w:rPr>
          <w:b/>
          <w:bCs/>
          <w:sz w:val="20"/>
        </w:rPr>
        <w:t xml:space="preserve">PROFESSOR: </w:t>
      </w:r>
      <w:r>
        <w:rPr>
          <w:bCs/>
          <w:sz w:val="20"/>
        </w:rPr>
        <w:t>JORGE MARCOS BUSSARELLO</w:t>
      </w:r>
    </w:p>
    <w:p w:rsidR="005B6BE9" w:rsidRDefault="005B6BE9">
      <w:pPr>
        <w:pBdr>
          <w:top w:val="single" w:sz="4" w:space="1" w:color="000000"/>
          <w:left w:val="single" w:sz="4" w:space="4" w:color="000000"/>
          <w:bottom w:val="single" w:sz="4" w:space="1" w:color="000000"/>
          <w:right w:val="single" w:sz="4" w:space="4" w:color="000000"/>
        </w:pBdr>
        <w:jc w:val="both"/>
        <w:rPr>
          <w:sz w:val="20"/>
        </w:rPr>
      </w:pPr>
      <w:r>
        <w:rPr>
          <w:b/>
          <w:bCs/>
          <w:caps/>
          <w:sz w:val="20"/>
        </w:rPr>
        <w:t xml:space="preserve">E-mail: </w:t>
      </w:r>
      <w:r>
        <w:rPr>
          <w:bCs/>
          <w:sz w:val="20"/>
        </w:rPr>
        <w:t>bussarello@gmail.com</w:t>
      </w:r>
    </w:p>
    <w:p w:rsidR="005B6BE9" w:rsidRDefault="005B6BE9">
      <w:pPr>
        <w:jc w:val="both"/>
        <w:rPr>
          <w:sz w:val="20"/>
        </w:rPr>
      </w:pPr>
    </w:p>
    <w:p w:rsidR="005B6BE9" w:rsidRDefault="005B6BE9">
      <w:pPr>
        <w:pBdr>
          <w:top w:val="single" w:sz="4" w:space="1" w:color="000000"/>
          <w:left w:val="single" w:sz="4" w:space="4" w:color="000000"/>
          <w:bottom w:val="single" w:sz="4" w:space="1" w:color="000000"/>
          <w:right w:val="single" w:sz="4" w:space="4" w:color="000000"/>
        </w:pBdr>
        <w:jc w:val="both"/>
        <w:rPr>
          <w:sz w:val="20"/>
        </w:rPr>
      </w:pPr>
      <w:r>
        <w:rPr>
          <w:b/>
          <w:bCs/>
          <w:sz w:val="20"/>
        </w:rPr>
        <w:t xml:space="preserve">CARGA HORÁRIA TOTAL: </w:t>
      </w:r>
      <w:r>
        <w:rPr>
          <w:sz w:val="20"/>
        </w:rPr>
        <w:t xml:space="preserve">72 </w:t>
      </w:r>
      <w:r>
        <w:rPr>
          <w:bCs/>
          <w:sz w:val="20"/>
        </w:rPr>
        <w:t>h</w:t>
      </w:r>
      <w:r>
        <w:rPr>
          <w:sz w:val="20"/>
        </w:rPr>
        <w:tab/>
      </w:r>
      <w:r>
        <w:rPr>
          <w:sz w:val="20"/>
        </w:rPr>
        <w:tab/>
      </w:r>
      <w:r>
        <w:rPr>
          <w:b/>
          <w:bCs/>
          <w:sz w:val="20"/>
        </w:rPr>
        <w:t xml:space="preserve">TEORIA: </w:t>
      </w:r>
      <w:r>
        <w:rPr>
          <w:sz w:val="20"/>
        </w:rPr>
        <w:t>72h</w:t>
      </w:r>
      <w:r>
        <w:rPr>
          <w:sz w:val="20"/>
        </w:rPr>
        <w:tab/>
        <w:t xml:space="preserve"> </w:t>
      </w:r>
      <w:r>
        <w:rPr>
          <w:b/>
          <w:bCs/>
          <w:sz w:val="20"/>
        </w:rPr>
        <w:t xml:space="preserve">PRÁTICA: </w:t>
      </w:r>
      <w:r>
        <w:rPr>
          <w:b/>
          <w:bCs/>
          <w:strike/>
          <w:sz w:val="20"/>
        </w:rPr>
        <w:t>--</w:t>
      </w:r>
    </w:p>
    <w:p w:rsidR="005B6BE9" w:rsidRDefault="005B6BE9">
      <w:pPr>
        <w:jc w:val="both"/>
        <w:rPr>
          <w:sz w:val="20"/>
        </w:rPr>
      </w:pPr>
    </w:p>
    <w:p w:rsidR="005B6BE9" w:rsidRDefault="005B6BE9">
      <w:pPr>
        <w:pBdr>
          <w:top w:val="single" w:sz="4" w:space="0" w:color="000000"/>
          <w:left w:val="single" w:sz="4" w:space="4" w:color="000000"/>
          <w:bottom w:val="single" w:sz="4" w:space="1" w:color="000000"/>
          <w:right w:val="single" w:sz="4" w:space="4" w:color="000000"/>
        </w:pBdr>
        <w:jc w:val="both"/>
        <w:rPr>
          <w:sz w:val="20"/>
        </w:rPr>
      </w:pPr>
      <w:r>
        <w:rPr>
          <w:b/>
          <w:bCs/>
          <w:sz w:val="20"/>
        </w:rPr>
        <w:t xml:space="preserve">CURSO(S): </w:t>
      </w:r>
      <w:r>
        <w:rPr>
          <w:bCs/>
          <w:sz w:val="20"/>
        </w:rPr>
        <w:t xml:space="preserve">BACHARELADO EM CIÊNCIAS CONTÁBEIS   </w:t>
      </w:r>
    </w:p>
    <w:p w:rsidR="005B6BE9" w:rsidRDefault="005B6BE9">
      <w:pPr>
        <w:jc w:val="both"/>
        <w:rPr>
          <w:sz w:val="20"/>
        </w:rPr>
      </w:pPr>
    </w:p>
    <w:p w:rsidR="005B6BE9" w:rsidRDefault="005B6BE9">
      <w:pPr>
        <w:pBdr>
          <w:top w:val="single" w:sz="4" w:space="1" w:color="000000"/>
          <w:left w:val="single" w:sz="4" w:space="4" w:color="000000"/>
          <w:bottom w:val="single" w:sz="4" w:space="1" w:color="000000"/>
          <w:right w:val="single" w:sz="4" w:space="4" w:color="000000"/>
        </w:pBdr>
        <w:jc w:val="both"/>
        <w:rPr>
          <w:sz w:val="20"/>
        </w:rPr>
      </w:pPr>
      <w:r>
        <w:rPr>
          <w:b/>
          <w:bCs/>
          <w:sz w:val="20"/>
        </w:rPr>
        <w:t>SEMESTRE:</w:t>
      </w:r>
      <w:r>
        <w:rPr>
          <w:sz w:val="20"/>
        </w:rPr>
        <w:t xml:space="preserve"> 2014/</w:t>
      </w:r>
      <w:r w:rsidR="009729C3">
        <w:rPr>
          <w:sz w:val="20"/>
        </w:rPr>
        <w:t>2</w:t>
      </w:r>
      <w:r>
        <w:rPr>
          <w:sz w:val="20"/>
        </w:rPr>
        <w:t xml:space="preserve">                    </w:t>
      </w:r>
      <w:r>
        <w:rPr>
          <w:sz w:val="20"/>
        </w:rPr>
        <w:tab/>
      </w:r>
      <w:r>
        <w:rPr>
          <w:sz w:val="20"/>
        </w:rPr>
        <w:tab/>
      </w:r>
      <w:r>
        <w:rPr>
          <w:sz w:val="20"/>
        </w:rPr>
        <w:tab/>
      </w:r>
      <w:r>
        <w:rPr>
          <w:b/>
          <w:bCs/>
          <w:sz w:val="20"/>
        </w:rPr>
        <w:t xml:space="preserve">PRÉ-REQUISITOS: </w:t>
      </w:r>
      <w:r>
        <w:rPr>
          <w:sz w:val="20"/>
        </w:rPr>
        <w:t>não possui</w:t>
      </w:r>
    </w:p>
    <w:p w:rsidR="005B6BE9" w:rsidRDefault="005B6BE9">
      <w:pPr>
        <w:jc w:val="both"/>
        <w:rPr>
          <w:sz w:val="20"/>
        </w:rPr>
      </w:pPr>
    </w:p>
    <w:p w:rsidR="005B6BE9" w:rsidRDefault="005B6BE9">
      <w:pPr>
        <w:pBdr>
          <w:top w:val="single" w:sz="4" w:space="1" w:color="000000"/>
          <w:left w:val="single" w:sz="4" w:space="4" w:color="000000"/>
          <w:bottom w:val="single" w:sz="4" w:space="1" w:color="000000"/>
          <w:right w:val="single" w:sz="4" w:space="4" w:color="000000"/>
        </w:pBdr>
        <w:jc w:val="both"/>
        <w:rPr>
          <w:bCs/>
          <w:sz w:val="20"/>
        </w:rPr>
      </w:pPr>
      <w:r>
        <w:rPr>
          <w:b/>
          <w:bCs/>
          <w:sz w:val="20"/>
        </w:rPr>
        <w:t>OBJETIVO GERAL DO CURSO:</w:t>
      </w:r>
    </w:p>
    <w:p w:rsidR="005B6BE9" w:rsidRDefault="005B6BE9">
      <w:pPr>
        <w:pStyle w:val="Corpodetexto"/>
        <w:pBdr>
          <w:top w:val="single" w:sz="4" w:space="1" w:color="000000"/>
          <w:left w:val="single" w:sz="4" w:space="4" w:color="000000"/>
          <w:bottom w:val="single" w:sz="4" w:space="1" w:color="000000"/>
          <w:right w:val="single" w:sz="4" w:space="4" w:color="000000"/>
        </w:pBdr>
        <w:spacing w:line="150" w:lineRule="atLeast"/>
        <w:ind w:firstLine="708"/>
        <w:rPr>
          <w:sz w:val="20"/>
        </w:rPr>
      </w:pPr>
      <w:r>
        <w:rPr>
          <w:bCs/>
          <w:sz w:val="20"/>
        </w:rPr>
        <w:t xml:space="preserve">Formar profissionais habilitados ao exercício da profissão contábil, proativos, críticos e reflexivos que promovam o desenvolvimento sustentável das organizações e da sociedade, com senso de responsabilidade, competência, criatividade, ética e iniciativa, capacitados a gerenciar informações, assessorando na tomada de decisões. </w:t>
      </w:r>
    </w:p>
    <w:p w:rsidR="005B6BE9" w:rsidRDefault="005B6BE9">
      <w:pPr>
        <w:pBdr>
          <w:top w:val="single" w:sz="4" w:space="1" w:color="000000"/>
          <w:left w:val="single" w:sz="4" w:space="4" w:color="000000"/>
          <w:bottom w:val="single" w:sz="4" w:space="1" w:color="000000"/>
          <w:right w:val="single" w:sz="4" w:space="4" w:color="000000"/>
        </w:pBdr>
        <w:jc w:val="both"/>
        <w:rPr>
          <w:sz w:val="20"/>
        </w:rPr>
      </w:pPr>
    </w:p>
    <w:p w:rsidR="005B6BE9" w:rsidRDefault="005B6BE9">
      <w:pPr>
        <w:jc w:val="both"/>
        <w:rPr>
          <w:sz w:val="20"/>
        </w:rPr>
      </w:pPr>
    </w:p>
    <w:p w:rsidR="005B6BE9" w:rsidRDefault="005B6BE9">
      <w:pPr>
        <w:pStyle w:val="Corpodetexto"/>
        <w:pBdr>
          <w:top w:val="single" w:sz="4" w:space="1" w:color="000000"/>
          <w:left w:val="single" w:sz="4" w:space="4" w:color="000000"/>
          <w:bottom w:val="single" w:sz="4" w:space="1" w:color="000000"/>
          <w:right w:val="single" w:sz="4" w:space="4" w:color="000000"/>
        </w:pBdr>
        <w:rPr>
          <w:bCs/>
          <w:sz w:val="20"/>
          <w:lang w:eastAsia="pt-BR"/>
        </w:rPr>
      </w:pPr>
      <w:r>
        <w:rPr>
          <w:b/>
          <w:bCs/>
          <w:sz w:val="20"/>
        </w:rPr>
        <w:t>EMENTA:</w:t>
      </w:r>
    </w:p>
    <w:p w:rsidR="005B6BE9" w:rsidRDefault="005B6BE9">
      <w:pPr>
        <w:pBdr>
          <w:top w:val="single" w:sz="4" w:space="1" w:color="000000"/>
          <w:left w:val="single" w:sz="4" w:space="4" w:color="000000"/>
          <w:bottom w:val="single" w:sz="4" w:space="1" w:color="000000"/>
          <w:right w:val="single" w:sz="4" w:space="4" w:color="000000"/>
        </w:pBdr>
        <w:spacing w:after="200"/>
        <w:jc w:val="both"/>
        <w:rPr>
          <w:sz w:val="20"/>
        </w:rPr>
      </w:pPr>
      <w:r>
        <w:rPr>
          <w:bCs/>
          <w:sz w:val="20"/>
          <w:lang w:eastAsia="pt-BR"/>
        </w:rPr>
        <w:t xml:space="preserve">Noção de língua como discurso constituído social dialógica e ideologicamente. Articulação </w:t>
      </w:r>
      <w:r>
        <w:rPr>
          <w:bCs/>
          <w:sz w:val="20"/>
        </w:rPr>
        <w:t>dialógica, paráfrase e alteridade. Estratégias de organização e de produção de gêneros acadêmicos específicos: resumo, resenha crítica, artigo científico, seminário. Produção de gêneros da esfera empresarial: ofício, memorando, requerimento, atestado, certidão, edital, ata, parecer, nota explicativa.</w:t>
      </w:r>
    </w:p>
    <w:p w:rsidR="005B6BE9" w:rsidRDefault="005B6BE9">
      <w:pPr>
        <w:pStyle w:val="Corpodetexto"/>
        <w:pBdr>
          <w:top w:val="single" w:sz="4" w:space="1" w:color="000000"/>
          <w:left w:val="single" w:sz="4" w:space="4" w:color="000000"/>
          <w:bottom w:val="single" w:sz="4" w:space="1" w:color="000000"/>
          <w:right w:val="single" w:sz="4" w:space="4" w:color="000000"/>
        </w:pBdr>
        <w:rPr>
          <w:sz w:val="20"/>
        </w:rPr>
      </w:pPr>
    </w:p>
    <w:p w:rsidR="005B6BE9" w:rsidRDefault="005B6BE9">
      <w:pPr>
        <w:pStyle w:val="Corpodetexto"/>
        <w:rPr>
          <w:sz w:val="20"/>
        </w:rPr>
      </w:pPr>
    </w:p>
    <w:p w:rsidR="005B6BE9" w:rsidRDefault="005B6BE9">
      <w:pPr>
        <w:pStyle w:val="Corpodetexto"/>
        <w:pBdr>
          <w:top w:val="single" w:sz="4" w:space="1" w:color="000000"/>
          <w:left w:val="single" w:sz="4" w:space="4" w:color="000000"/>
          <w:bottom w:val="single" w:sz="4" w:space="1" w:color="000000"/>
          <w:right w:val="single" w:sz="4" w:space="4" w:color="000000"/>
        </w:pBdr>
        <w:rPr>
          <w:sz w:val="20"/>
        </w:rPr>
      </w:pPr>
      <w:r>
        <w:rPr>
          <w:b/>
          <w:bCs/>
          <w:sz w:val="20"/>
        </w:rPr>
        <w:t>OBJETIVO GERAL DA DISCIPLINA:</w:t>
      </w:r>
    </w:p>
    <w:p w:rsidR="005B6BE9" w:rsidRDefault="005B6BE9">
      <w:pPr>
        <w:pBdr>
          <w:top w:val="single" w:sz="4" w:space="1" w:color="000000"/>
          <w:left w:val="single" w:sz="4" w:space="4" w:color="000000"/>
          <w:bottom w:val="single" w:sz="4" w:space="1" w:color="000000"/>
          <w:right w:val="single" w:sz="4" w:space="4" w:color="000000"/>
        </w:pBdr>
        <w:jc w:val="both"/>
        <w:rPr>
          <w:sz w:val="20"/>
        </w:rPr>
      </w:pPr>
      <w:r>
        <w:rPr>
          <w:sz w:val="20"/>
        </w:rPr>
        <w:t>Compreender e construir textos de acordo com as regras gramaticais da língua portuguesa, com clareza e objetividade, requeridos no exercício de funções contábeis, empresariais e/ou governamentais.</w:t>
      </w:r>
    </w:p>
    <w:p w:rsidR="005B6BE9" w:rsidRDefault="005B6BE9">
      <w:pPr>
        <w:jc w:val="both"/>
        <w:rPr>
          <w:sz w:val="20"/>
        </w:rPr>
      </w:pPr>
    </w:p>
    <w:p w:rsidR="005B6BE9" w:rsidRDefault="005B6BE9">
      <w:pPr>
        <w:pBdr>
          <w:top w:val="single" w:sz="4" w:space="1" w:color="000000"/>
          <w:left w:val="single" w:sz="4" w:space="4" w:color="000000"/>
          <w:bottom w:val="single" w:sz="4" w:space="1" w:color="000000"/>
          <w:right w:val="single" w:sz="4" w:space="4" w:color="000000"/>
        </w:pBdr>
        <w:jc w:val="both"/>
        <w:rPr>
          <w:sz w:val="20"/>
        </w:rPr>
      </w:pPr>
      <w:r>
        <w:rPr>
          <w:b/>
          <w:bCs/>
          <w:sz w:val="20"/>
        </w:rPr>
        <w:t>OBJETIVOS ESPECÍFICOS DA DISCIPLINA:</w:t>
      </w:r>
    </w:p>
    <w:p w:rsidR="005B6BE9" w:rsidRDefault="005B6BE9">
      <w:pPr>
        <w:pBdr>
          <w:top w:val="single" w:sz="4" w:space="1" w:color="000000"/>
          <w:left w:val="single" w:sz="4" w:space="4" w:color="000000"/>
          <w:bottom w:val="single" w:sz="4" w:space="1" w:color="000000"/>
          <w:right w:val="single" w:sz="4" w:space="4" w:color="000000"/>
        </w:pBdr>
        <w:jc w:val="both"/>
        <w:rPr>
          <w:b/>
          <w:bCs/>
          <w:sz w:val="20"/>
        </w:rPr>
      </w:pPr>
      <w:r>
        <w:rPr>
          <w:sz w:val="20"/>
        </w:rPr>
        <w:t xml:space="preserve">Conscientizar os acadêmicos sobre a realidade da língua como discurso constituído social, dialógica e ideologicamente. Levar ao conhecimento dos acadêmicos os gêneros do discurso específicos mais usuais da esfera acadêmica e os da esfera profissional com os quais se depararão quando egressos. Promover a produção textual dos gêneros específicos de acordo com as exigências do gênero e da esfera a que pertencem. </w:t>
      </w:r>
    </w:p>
    <w:tbl>
      <w:tblPr>
        <w:tblW w:w="0" w:type="auto"/>
        <w:tblInd w:w="-47" w:type="dxa"/>
        <w:tblLayout w:type="fixed"/>
        <w:tblLook w:val="0000"/>
      </w:tblPr>
      <w:tblGrid>
        <w:gridCol w:w="786"/>
        <w:gridCol w:w="384"/>
        <w:gridCol w:w="1387"/>
        <w:gridCol w:w="99"/>
        <w:gridCol w:w="7087"/>
        <w:gridCol w:w="236"/>
        <w:gridCol w:w="236"/>
        <w:gridCol w:w="236"/>
        <w:gridCol w:w="40"/>
      </w:tblGrid>
      <w:tr w:rsidR="005B6BE9">
        <w:trPr>
          <w:trHeight w:val="531"/>
        </w:trPr>
        <w:tc>
          <w:tcPr>
            <w:tcW w:w="10491" w:type="dxa"/>
            <w:gridSpan w:val="9"/>
            <w:tcBorders>
              <w:top w:val="single" w:sz="4" w:space="0" w:color="000000"/>
              <w:left w:val="single" w:sz="4" w:space="0" w:color="000000"/>
              <w:right w:val="single" w:sz="4" w:space="0" w:color="000000"/>
            </w:tcBorders>
            <w:shd w:val="clear" w:color="auto" w:fill="FFFFFF"/>
          </w:tcPr>
          <w:p w:rsidR="005B6BE9" w:rsidRDefault="005B6BE9">
            <w:pPr>
              <w:pageBreakBefore/>
              <w:pBdr>
                <w:top w:val="single" w:sz="4" w:space="1" w:color="000000"/>
                <w:left w:val="single" w:sz="4" w:space="4" w:color="000000"/>
                <w:right w:val="single" w:sz="4" w:space="4" w:color="000000"/>
              </w:pBdr>
              <w:jc w:val="both"/>
              <w:rPr>
                <w:b/>
                <w:sz w:val="20"/>
              </w:rPr>
            </w:pPr>
            <w:r>
              <w:rPr>
                <w:b/>
                <w:bCs/>
                <w:sz w:val="20"/>
              </w:rPr>
              <w:lastRenderedPageBreak/>
              <w:t>CRONOGRAMA DE ATIVIDADES:</w:t>
            </w:r>
          </w:p>
        </w:tc>
      </w:tr>
      <w:tr w:rsidR="005B6BE9">
        <w:tc>
          <w:tcPr>
            <w:tcW w:w="1170" w:type="dxa"/>
            <w:gridSpan w:val="2"/>
            <w:tcBorders>
              <w:left w:val="single" w:sz="4" w:space="0" w:color="000000"/>
            </w:tcBorders>
            <w:shd w:val="clear" w:color="auto" w:fill="FFFFFF"/>
          </w:tcPr>
          <w:p w:rsidR="005B6BE9" w:rsidRDefault="005B6BE9">
            <w:pPr>
              <w:tabs>
                <w:tab w:val="left" w:pos="570"/>
              </w:tabs>
              <w:jc w:val="both"/>
              <w:rPr>
                <w:b/>
                <w:sz w:val="20"/>
              </w:rPr>
            </w:pPr>
            <w:r>
              <w:rPr>
                <w:b/>
                <w:sz w:val="20"/>
              </w:rPr>
              <w:t>Data</w:t>
            </w:r>
          </w:p>
        </w:tc>
        <w:tc>
          <w:tcPr>
            <w:tcW w:w="1486" w:type="dxa"/>
            <w:gridSpan w:val="2"/>
            <w:shd w:val="clear" w:color="auto" w:fill="FFFFFF"/>
          </w:tcPr>
          <w:p w:rsidR="005B6BE9" w:rsidRDefault="005B6BE9">
            <w:pPr>
              <w:jc w:val="both"/>
              <w:rPr>
                <w:b/>
                <w:sz w:val="20"/>
              </w:rPr>
            </w:pPr>
            <w:r>
              <w:rPr>
                <w:b/>
                <w:sz w:val="20"/>
              </w:rPr>
              <w:t>Horário</w:t>
            </w:r>
          </w:p>
        </w:tc>
        <w:tc>
          <w:tcPr>
            <w:tcW w:w="7835" w:type="dxa"/>
            <w:gridSpan w:val="5"/>
            <w:tcBorders>
              <w:right w:val="single" w:sz="4" w:space="0" w:color="000000"/>
            </w:tcBorders>
            <w:shd w:val="clear" w:color="auto" w:fill="FFFFFF"/>
          </w:tcPr>
          <w:p w:rsidR="005B6BE9" w:rsidRDefault="005B6BE9">
            <w:pPr>
              <w:jc w:val="both"/>
              <w:rPr>
                <w:sz w:val="20"/>
              </w:rPr>
            </w:pPr>
            <w:r>
              <w:rPr>
                <w:b/>
                <w:sz w:val="20"/>
              </w:rPr>
              <w:t>Conteúdo</w:t>
            </w: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9729C3">
            <w:pPr>
              <w:jc w:val="both"/>
              <w:rPr>
                <w:sz w:val="20"/>
              </w:rPr>
            </w:pPr>
            <w:r>
              <w:rPr>
                <w:sz w:val="20"/>
              </w:rPr>
              <w:t>28/7</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Aula 1: Apresentação do professor e recepção dos calouros.</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9729C3">
            <w:pPr>
              <w:jc w:val="both"/>
              <w:rPr>
                <w:sz w:val="20"/>
              </w:rPr>
            </w:pPr>
            <w:r>
              <w:rPr>
                <w:sz w:val="20"/>
              </w:rPr>
              <w:t>4/8</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 xml:space="preserve">Aula 2: Apresentação do plano de ensino. </w:t>
            </w:r>
            <w:r>
              <w:rPr>
                <w:bCs/>
                <w:sz w:val="20"/>
                <w:lang w:eastAsia="pt-BR"/>
              </w:rPr>
              <w:t>Noção de língua como discurso constituído social dialógica e ideologicamente</w:t>
            </w:r>
            <w:r>
              <w:rPr>
                <w:sz w:val="20"/>
              </w:rPr>
              <w:t>.</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left w:val="single" w:sz="4" w:space="0" w:color="000000"/>
              <w:bottom w:val="single" w:sz="4" w:space="0" w:color="000000"/>
            </w:tcBorders>
            <w:shd w:val="clear" w:color="auto" w:fill="FFFFFF"/>
          </w:tcPr>
          <w:p w:rsidR="005B6BE9" w:rsidRDefault="009729C3">
            <w:pPr>
              <w:jc w:val="both"/>
              <w:rPr>
                <w:sz w:val="20"/>
              </w:rPr>
            </w:pPr>
            <w:r>
              <w:rPr>
                <w:sz w:val="20"/>
              </w:rPr>
              <w:t>11/8</w:t>
            </w:r>
          </w:p>
        </w:tc>
        <w:tc>
          <w:tcPr>
            <w:tcW w:w="1771" w:type="dxa"/>
            <w:gridSpan w:val="2"/>
            <w:tcBorders>
              <w:left w:val="single" w:sz="4" w:space="0" w:color="000000"/>
              <w:bottom w:val="single" w:sz="4" w:space="0" w:color="000000"/>
            </w:tcBorders>
            <w:shd w:val="clear" w:color="auto" w:fill="FFFFFF"/>
          </w:tcPr>
          <w:p w:rsidR="005B6BE9" w:rsidRDefault="005B6BE9">
            <w:pPr>
              <w:jc w:val="both"/>
              <w:rPr>
                <w:sz w:val="20"/>
              </w:rPr>
            </w:pPr>
            <w:r>
              <w:rPr>
                <w:sz w:val="20"/>
              </w:rPr>
              <w:t>18h50-22h20</w:t>
            </w:r>
          </w:p>
        </w:tc>
        <w:tc>
          <w:tcPr>
            <w:tcW w:w="7186" w:type="dxa"/>
            <w:gridSpan w:val="2"/>
            <w:tcBorders>
              <w:left w:val="single" w:sz="4" w:space="0" w:color="000000"/>
              <w:bottom w:val="single" w:sz="4" w:space="0" w:color="000000"/>
            </w:tcBorders>
            <w:shd w:val="clear" w:color="auto" w:fill="FFFFFF"/>
          </w:tcPr>
          <w:p w:rsidR="005B6BE9" w:rsidRDefault="005B6BE9">
            <w:pPr>
              <w:jc w:val="both"/>
              <w:rPr>
                <w:sz w:val="20"/>
              </w:rPr>
            </w:pPr>
            <w:r>
              <w:rPr>
                <w:sz w:val="20"/>
              </w:rPr>
              <w:t xml:space="preserve">Aula 3: </w:t>
            </w:r>
            <w:r>
              <w:rPr>
                <w:bCs/>
                <w:sz w:val="20"/>
              </w:rPr>
              <w:t>Articulação dialógica: a alteridade do discurso (o plágio, a citação direta, a paráfrase, a originalidade).</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9729C3">
            <w:pPr>
              <w:jc w:val="both"/>
              <w:rPr>
                <w:sz w:val="20"/>
              </w:rPr>
            </w:pPr>
            <w:r>
              <w:rPr>
                <w:sz w:val="20"/>
              </w:rPr>
              <w:t>18/8</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bCs/>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bCs/>
                <w:sz w:val="20"/>
              </w:rPr>
              <w:t xml:space="preserve">Aula 4: Articulação dialógica: a paráfrase. </w:t>
            </w:r>
            <w:r>
              <w:rPr>
                <w:sz w:val="20"/>
              </w:rPr>
              <w:t>Atividades parafrásticas em nível de parágrafos. Análise coletiva.</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9729C3">
            <w:pPr>
              <w:jc w:val="both"/>
              <w:rPr>
                <w:sz w:val="20"/>
              </w:rPr>
            </w:pPr>
            <w:r>
              <w:rPr>
                <w:sz w:val="20"/>
              </w:rPr>
              <w:t>25/8</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 xml:space="preserve">Aula 5: </w:t>
            </w:r>
            <w:r>
              <w:rPr>
                <w:bCs/>
                <w:sz w:val="20"/>
              </w:rPr>
              <w:t>Resumo. (palavras-chave, ideias-chave). À luz da tecnologia.</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9729C3">
            <w:pPr>
              <w:jc w:val="both"/>
              <w:rPr>
                <w:sz w:val="20"/>
              </w:rPr>
            </w:pPr>
            <w:r>
              <w:rPr>
                <w:sz w:val="20"/>
              </w:rPr>
              <w:t>1/9</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bCs/>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bCs/>
                <w:sz w:val="20"/>
              </w:rPr>
              <w:t xml:space="preserve">Aula 6: Resenha crítica: características, análise e apontamentos. </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rsidRPr="00AA11C1">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Pr="00AA11C1" w:rsidRDefault="00AA11C1">
            <w:pPr>
              <w:jc w:val="both"/>
              <w:rPr>
                <w:sz w:val="20"/>
              </w:rPr>
            </w:pPr>
            <w:r w:rsidRPr="00AA11C1">
              <w:rPr>
                <w:sz w:val="20"/>
              </w:rPr>
              <w:t>8</w:t>
            </w:r>
            <w:r w:rsidR="009729C3" w:rsidRPr="00AA11C1">
              <w:rPr>
                <w:sz w:val="20"/>
              </w:rPr>
              <w:t>/9</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Pr="00AA11C1" w:rsidRDefault="005B6BE9">
            <w:pPr>
              <w:jc w:val="both"/>
              <w:rPr>
                <w:sz w:val="20"/>
              </w:rPr>
            </w:pPr>
            <w:r w:rsidRPr="00AA11C1">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Pr="00AA11C1" w:rsidRDefault="005B6BE9" w:rsidP="00AA11C1">
            <w:pPr>
              <w:jc w:val="both"/>
              <w:rPr>
                <w:sz w:val="20"/>
              </w:rPr>
            </w:pPr>
            <w:r w:rsidRPr="00AA11C1">
              <w:rPr>
                <w:sz w:val="20"/>
              </w:rPr>
              <w:t xml:space="preserve">Aula 7: </w:t>
            </w:r>
            <w:r w:rsidR="00AA11C1" w:rsidRPr="00AA11C1">
              <w:rPr>
                <w:sz w:val="20"/>
              </w:rPr>
              <w:t>P</w:t>
            </w:r>
            <w:r w:rsidRPr="00AA11C1">
              <w:rPr>
                <w:bCs/>
                <w:sz w:val="20"/>
              </w:rPr>
              <w:t>rodução da resenha crítica (T1).</w:t>
            </w:r>
          </w:p>
        </w:tc>
        <w:tc>
          <w:tcPr>
            <w:tcW w:w="236" w:type="dxa"/>
            <w:tcBorders>
              <w:left w:val="single" w:sz="4" w:space="0" w:color="000000"/>
            </w:tcBorders>
            <w:shd w:val="clear" w:color="auto" w:fill="FFFFFF"/>
          </w:tcPr>
          <w:p w:rsidR="005B6BE9" w:rsidRPr="00AA11C1" w:rsidRDefault="005B6BE9">
            <w:pPr>
              <w:snapToGrid w:val="0"/>
              <w:rPr>
                <w:sz w:val="20"/>
              </w:rPr>
            </w:pPr>
          </w:p>
        </w:tc>
        <w:tc>
          <w:tcPr>
            <w:tcW w:w="236" w:type="dxa"/>
            <w:shd w:val="clear" w:color="auto" w:fill="FFFFFF"/>
          </w:tcPr>
          <w:p w:rsidR="005B6BE9" w:rsidRPr="00AA11C1" w:rsidRDefault="005B6BE9">
            <w:pPr>
              <w:snapToGrid w:val="0"/>
              <w:rPr>
                <w:sz w:val="20"/>
              </w:rPr>
            </w:pPr>
          </w:p>
        </w:tc>
        <w:tc>
          <w:tcPr>
            <w:tcW w:w="236" w:type="dxa"/>
            <w:shd w:val="clear" w:color="auto" w:fill="FFFFFF"/>
          </w:tcPr>
          <w:p w:rsidR="005B6BE9" w:rsidRPr="00AA11C1" w:rsidRDefault="005B6BE9">
            <w:pPr>
              <w:snapToGrid w:val="0"/>
              <w:rPr>
                <w:sz w:val="20"/>
              </w:rPr>
            </w:pPr>
          </w:p>
        </w:tc>
        <w:tc>
          <w:tcPr>
            <w:tcW w:w="40" w:type="dxa"/>
            <w:shd w:val="clear" w:color="auto" w:fill="auto"/>
          </w:tcPr>
          <w:p w:rsidR="005B6BE9" w:rsidRPr="00AA11C1"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AA11C1" w:rsidP="00AA11C1">
            <w:pPr>
              <w:jc w:val="both"/>
              <w:rPr>
                <w:sz w:val="20"/>
              </w:rPr>
            </w:pPr>
            <w:r>
              <w:rPr>
                <w:sz w:val="20"/>
              </w:rPr>
              <w:t>15</w:t>
            </w:r>
            <w:r w:rsidR="009729C3">
              <w:rPr>
                <w:sz w:val="20"/>
              </w:rPr>
              <w:t>/9</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Aula 8: O seminário. Preparação do seminário sobre nota explicativa.</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AA11C1" w:rsidP="00AA11C1">
            <w:pPr>
              <w:jc w:val="both"/>
              <w:rPr>
                <w:sz w:val="20"/>
              </w:rPr>
            </w:pPr>
            <w:r>
              <w:rPr>
                <w:sz w:val="20"/>
              </w:rPr>
              <w:t>22/9</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Aula 9: Refeitura da resenha crítica. Apresentação do seminário (T2).</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AA11C1" w:rsidP="00AA11C1">
            <w:pPr>
              <w:jc w:val="both"/>
              <w:rPr>
                <w:sz w:val="20"/>
              </w:rPr>
            </w:pPr>
            <w:r>
              <w:rPr>
                <w:sz w:val="20"/>
              </w:rPr>
              <w:t>6/10</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 xml:space="preserve">Aula 10: Apresentação do seminário. </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AA11C1" w:rsidP="00AA11C1">
            <w:pPr>
              <w:jc w:val="both"/>
              <w:rPr>
                <w:sz w:val="20"/>
              </w:rPr>
            </w:pPr>
            <w:r>
              <w:rPr>
                <w:sz w:val="20"/>
              </w:rPr>
              <w:t>13/10</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rsidP="009729C3">
            <w:pPr>
              <w:jc w:val="both"/>
              <w:rPr>
                <w:sz w:val="20"/>
              </w:rPr>
            </w:pPr>
            <w:r>
              <w:rPr>
                <w:sz w:val="20"/>
              </w:rPr>
              <w:t>Aula 11:</w:t>
            </w:r>
            <w:r>
              <w:rPr>
                <w:bCs/>
                <w:sz w:val="20"/>
              </w:rPr>
              <w:t xml:space="preserve"> Ofício e memorando. Produção do gênero (T3)</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AA11C1">
            <w:pPr>
              <w:jc w:val="both"/>
              <w:rPr>
                <w:sz w:val="20"/>
              </w:rPr>
            </w:pPr>
            <w:r>
              <w:rPr>
                <w:sz w:val="20"/>
              </w:rPr>
              <w:t>20/10</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bCs/>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bCs/>
                <w:sz w:val="20"/>
              </w:rPr>
              <w:t xml:space="preserve">Aula 12: Parecer. Produção do gênero (T4). Requerimento, atestado, certidão, edital. </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rsidRPr="00794AE0">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Pr="00794AE0" w:rsidRDefault="00AA11C1" w:rsidP="00AA11C1">
            <w:pPr>
              <w:jc w:val="both"/>
              <w:rPr>
                <w:sz w:val="20"/>
              </w:rPr>
            </w:pPr>
            <w:r w:rsidRPr="00794AE0">
              <w:rPr>
                <w:sz w:val="20"/>
              </w:rPr>
              <w:t>25/10</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Pr="00794AE0" w:rsidRDefault="005B6BE9">
            <w:pPr>
              <w:jc w:val="both"/>
              <w:rPr>
                <w:bCs/>
                <w:sz w:val="20"/>
              </w:rPr>
            </w:pPr>
            <w:r w:rsidRPr="00794AE0">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Pr="00794AE0" w:rsidRDefault="005B6BE9" w:rsidP="009729C3">
            <w:pPr>
              <w:jc w:val="both"/>
              <w:rPr>
                <w:sz w:val="20"/>
              </w:rPr>
            </w:pPr>
            <w:r w:rsidRPr="00794AE0">
              <w:rPr>
                <w:bCs/>
                <w:sz w:val="20"/>
              </w:rPr>
              <w:t>Aula 13:</w:t>
            </w:r>
            <w:r w:rsidR="009729C3" w:rsidRPr="00794AE0">
              <w:rPr>
                <w:sz w:val="20"/>
              </w:rPr>
              <w:t xml:space="preserve"> Aula virtual sábado: </w:t>
            </w:r>
            <w:r w:rsidR="009729C3" w:rsidRPr="00794AE0">
              <w:rPr>
                <w:bCs/>
                <w:sz w:val="20"/>
              </w:rPr>
              <w:t>refeitura do ofício e do parecer.</w:t>
            </w:r>
            <w:r w:rsidRPr="00794AE0">
              <w:rPr>
                <w:bCs/>
                <w:sz w:val="20"/>
              </w:rPr>
              <w:t xml:space="preserve"> </w:t>
            </w:r>
          </w:p>
        </w:tc>
        <w:tc>
          <w:tcPr>
            <w:tcW w:w="236" w:type="dxa"/>
            <w:tcBorders>
              <w:left w:val="single" w:sz="4" w:space="0" w:color="000000"/>
            </w:tcBorders>
            <w:shd w:val="clear" w:color="auto" w:fill="FFFFFF"/>
          </w:tcPr>
          <w:p w:rsidR="005B6BE9" w:rsidRPr="00794AE0" w:rsidRDefault="005B6BE9">
            <w:pPr>
              <w:snapToGrid w:val="0"/>
              <w:rPr>
                <w:sz w:val="20"/>
              </w:rPr>
            </w:pPr>
          </w:p>
        </w:tc>
        <w:tc>
          <w:tcPr>
            <w:tcW w:w="236" w:type="dxa"/>
            <w:shd w:val="clear" w:color="auto" w:fill="FFFFFF"/>
          </w:tcPr>
          <w:p w:rsidR="005B6BE9" w:rsidRPr="00794AE0" w:rsidRDefault="005B6BE9">
            <w:pPr>
              <w:snapToGrid w:val="0"/>
              <w:rPr>
                <w:sz w:val="20"/>
              </w:rPr>
            </w:pPr>
          </w:p>
        </w:tc>
        <w:tc>
          <w:tcPr>
            <w:tcW w:w="236" w:type="dxa"/>
            <w:shd w:val="clear" w:color="auto" w:fill="FFFFFF"/>
          </w:tcPr>
          <w:p w:rsidR="005B6BE9" w:rsidRPr="00794AE0" w:rsidRDefault="005B6BE9">
            <w:pPr>
              <w:snapToGrid w:val="0"/>
              <w:rPr>
                <w:sz w:val="20"/>
              </w:rPr>
            </w:pPr>
          </w:p>
        </w:tc>
        <w:tc>
          <w:tcPr>
            <w:tcW w:w="40" w:type="dxa"/>
            <w:shd w:val="clear" w:color="auto" w:fill="auto"/>
          </w:tcPr>
          <w:p w:rsidR="005B6BE9" w:rsidRPr="00794AE0"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794AE0" w:rsidP="00AA11C1">
            <w:pPr>
              <w:jc w:val="both"/>
              <w:rPr>
                <w:sz w:val="20"/>
              </w:rPr>
            </w:pPr>
            <w:r>
              <w:rPr>
                <w:sz w:val="20"/>
              </w:rPr>
              <w:t>3/11</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rsidP="009729C3">
            <w:pPr>
              <w:jc w:val="both"/>
              <w:rPr>
                <w:sz w:val="20"/>
              </w:rPr>
            </w:pPr>
            <w:r>
              <w:rPr>
                <w:sz w:val="20"/>
              </w:rPr>
              <w:t>Aula 14</w:t>
            </w:r>
            <w:r w:rsidR="009729C3">
              <w:rPr>
                <w:sz w:val="20"/>
              </w:rPr>
              <w:t xml:space="preserve">: </w:t>
            </w:r>
            <w:r w:rsidR="009729C3">
              <w:rPr>
                <w:bCs/>
                <w:sz w:val="20"/>
              </w:rPr>
              <w:t>Ata. Produção do gênero.</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794AE0" w:rsidP="00AA11C1">
            <w:pPr>
              <w:jc w:val="both"/>
              <w:rPr>
                <w:sz w:val="20"/>
              </w:rPr>
            </w:pPr>
            <w:r>
              <w:rPr>
                <w:sz w:val="20"/>
              </w:rPr>
              <w:t>10</w:t>
            </w:r>
            <w:r w:rsidR="005B6BE9">
              <w:rPr>
                <w:sz w:val="20"/>
              </w:rPr>
              <w:t>/</w:t>
            </w:r>
            <w:r w:rsidR="009729C3">
              <w:rPr>
                <w:sz w:val="20"/>
              </w:rPr>
              <w:t>1</w:t>
            </w:r>
            <w:r w:rsidR="00AA11C1">
              <w:rPr>
                <w:sz w:val="20"/>
              </w:rPr>
              <w:t>1</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Aula 15: N</w:t>
            </w:r>
            <w:r>
              <w:rPr>
                <w:bCs/>
                <w:sz w:val="20"/>
              </w:rPr>
              <w:t>ota explicativa. E</w:t>
            </w:r>
            <w:r>
              <w:rPr>
                <w:sz w:val="20"/>
              </w:rPr>
              <w:t xml:space="preserve">stratégias de organização do texto: o parágrafo. </w:t>
            </w:r>
            <w:r>
              <w:rPr>
                <w:bCs/>
                <w:sz w:val="20"/>
              </w:rPr>
              <w:t xml:space="preserve">  </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AA11C1">
            <w:pPr>
              <w:jc w:val="both"/>
              <w:rPr>
                <w:sz w:val="20"/>
              </w:rPr>
            </w:pPr>
            <w:r>
              <w:rPr>
                <w:sz w:val="20"/>
              </w:rPr>
              <w:t>1</w:t>
            </w:r>
            <w:r w:rsidR="00794AE0">
              <w:rPr>
                <w:sz w:val="20"/>
              </w:rPr>
              <w:t>7</w:t>
            </w:r>
            <w:r w:rsidR="009729C3">
              <w:rPr>
                <w:sz w:val="20"/>
              </w:rPr>
              <w:t>/11</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bCs/>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bCs/>
                <w:sz w:val="20"/>
              </w:rPr>
              <w:t>Aula 16: Nota explicativa. Estratégias de organização do texto: Enumeração.</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794AE0">
            <w:pPr>
              <w:jc w:val="both"/>
              <w:rPr>
                <w:sz w:val="20"/>
              </w:rPr>
            </w:pPr>
            <w:r>
              <w:rPr>
                <w:sz w:val="20"/>
              </w:rPr>
              <w:t>24</w:t>
            </w:r>
            <w:r w:rsidR="009729C3">
              <w:rPr>
                <w:sz w:val="20"/>
              </w:rPr>
              <w:t>/11</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 xml:space="preserve">Aula 17: </w:t>
            </w:r>
            <w:r>
              <w:rPr>
                <w:bCs/>
                <w:sz w:val="20"/>
              </w:rPr>
              <w:t>Nota explicativa. Produção textual do gênero (T5).</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794AE0">
            <w:pPr>
              <w:jc w:val="both"/>
              <w:rPr>
                <w:sz w:val="20"/>
              </w:rPr>
            </w:pPr>
            <w:r>
              <w:rPr>
                <w:sz w:val="20"/>
              </w:rPr>
              <w:t>1</w:t>
            </w:r>
            <w:r w:rsidR="009729C3">
              <w:rPr>
                <w:sz w:val="20"/>
              </w:rPr>
              <w:t>/1</w:t>
            </w:r>
            <w:r>
              <w:rPr>
                <w:sz w:val="20"/>
              </w:rPr>
              <w:t>2</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sz w:val="20"/>
              </w:rPr>
              <w:t xml:space="preserve">Aula 18: </w:t>
            </w:r>
            <w:r>
              <w:rPr>
                <w:bCs/>
                <w:sz w:val="20"/>
              </w:rPr>
              <w:t>Refeitura do texto para nota explicativa.</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r w:rsidR="005B6BE9">
        <w:tblPrEx>
          <w:tblCellMar>
            <w:left w:w="0" w:type="dxa"/>
            <w:right w:w="0" w:type="dxa"/>
          </w:tblCellMar>
        </w:tblPrEx>
        <w:tc>
          <w:tcPr>
            <w:tcW w:w="786" w:type="dxa"/>
            <w:tcBorders>
              <w:top w:val="single" w:sz="4" w:space="0" w:color="000000"/>
              <w:left w:val="single" w:sz="4" w:space="0" w:color="000000"/>
              <w:bottom w:val="single" w:sz="4" w:space="0" w:color="000000"/>
            </w:tcBorders>
            <w:shd w:val="clear" w:color="auto" w:fill="FFFFFF"/>
          </w:tcPr>
          <w:p w:rsidR="005B6BE9" w:rsidRDefault="00794AE0" w:rsidP="00AA11C1">
            <w:pPr>
              <w:jc w:val="both"/>
              <w:rPr>
                <w:sz w:val="20"/>
              </w:rPr>
            </w:pPr>
            <w:r>
              <w:rPr>
                <w:sz w:val="20"/>
              </w:rPr>
              <w:t>8</w:t>
            </w:r>
            <w:r w:rsidR="00AA11C1">
              <w:rPr>
                <w:sz w:val="20"/>
              </w:rPr>
              <w:t>/12</w:t>
            </w:r>
          </w:p>
        </w:tc>
        <w:tc>
          <w:tcPr>
            <w:tcW w:w="1771"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bCs/>
                <w:sz w:val="20"/>
              </w:rPr>
            </w:pPr>
            <w:r>
              <w:rPr>
                <w:sz w:val="20"/>
              </w:rPr>
              <w:t>18h50-22h20</w:t>
            </w:r>
          </w:p>
        </w:tc>
        <w:tc>
          <w:tcPr>
            <w:tcW w:w="7186" w:type="dxa"/>
            <w:gridSpan w:val="2"/>
            <w:tcBorders>
              <w:top w:val="single" w:sz="4" w:space="0" w:color="000000"/>
              <w:left w:val="single" w:sz="4" w:space="0" w:color="000000"/>
              <w:bottom w:val="single" w:sz="4" w:space="0" w:color="000000"/>
            </w:tcBorders>
            <w:shd w:val="clear" w:color="auto" w:fill="FFFFFF"/>
          </w:tcPr>
          <w:p w:rsidR="005B6BE9" w:rsidRDefault="005B6BE9">
            <w:pPr>
              <w:jc w:val="both"/>
              <w:rPr>
                <w:sz w:val="20"/>
              </w:rPr>
            </w:pPr>
            <w:r>
              <w:rPr>
                <w:bCs/>
                <w:sz w:val="20"/>
              </w:rPr>
              <w:t>Exames Finais.</w:t>
            </w:r>
          </w:p>
        </w:tc>
        <w:tc>
          <w:tcPr>
            <w:tcW w:w="236" w:type="dxa"/>
            <w:tcBorders>
              <w:left w:val="single" w:sz="4" w:space="0" w:color="000000"/>
            </w:tcBorders>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236" w:type="dxa"/>
            <w:shd w:val="clear" w:color="auto" w:fill="FFFFFF"/>
          </w:tcPr>
          <w:p w:rsidR="005B6BE9" w:rsidRDefault="005B6BE9">
            <w:pPr>
              <w:snapToGrid w:val="0"/>
              <w:rPr>
                <w:sz w:val="20"/>
              </w:rPr>
            </w:pPr>
          </w:p>
        </w:tc>
        <w:tc>
          <w:tcPr>
            <w:tcW w:w="40" w:type="dxa"/>
            <w:shd w:val="clear" w:color="auto" w:fill="auto"/>
          </w:tcPr>
          <w:p w:rsidR="005B6BE9" w:rsidRDefault="005B6BE9">
            <w:pPr>
              <w:snapToGrid w:val="0"/>
              <w:rPr>
                <w:sz w:val="20"/>
              </w:rPr>
            </w:pPr>
          </w:p>
        </w:tc>
      </w:tr>
    </w:tbl>
    <w:p w:rsidR="005B6BE9" w:rsidRDefault="005B6BE9">
      <w:pPr>
        <w:jc w:val="both"/>
      </w:pPr>
    </w:p>
    <w:p w:rsidR="005B6BE9" w:rsidRDefault="005B6BE9">
      <w:pPr>
        <w:pBdr>
          <w:top w:val="single" w:sz="4" w:space="1" w:color="000000"/>
          <w:left w:val="single" w:sz="4" w:space="4" w:color="000000"/>
          <w:bottom w:val="single" w:sz="4" w:space="1" w:color="000000"/>
          <w:right w:val="single" w:sz="4" w:space="4" w:color="000000"/>
        </w:pBdr>
        <w:jc w:val="both"/>
        <w:rPr>
          <w:b/>
          <w:bCs/>
          <w:sz w:val="20"/>
        </w:rPr>
      </w:pPr>
      <w:r>
        <w:rPr>
          <w:b/>
          <w:bCs/>
          <w:sz w:val="20"/>
        </w:rPr>
        <w:t>METODOLOGIA PROPOSTA:</w:t>
      </w:r>
    </w:p>
    <w:p w:rsidR="005B6BE9" w:rsidRDefault="005B6BE9">
      <w:pPr>
        <w:pBdr>
          <w:top w:val="single" w:sz="4" w:space="1" w:color="000000"/>
          <w:left w:val="single" w:sz="4" w:space="4" w:color="000000"/>
          <w:bottom w:val="single" w:sz="4" w:space="1" w:color="000000"/>
          <w:right w:val="single" w:sz="4" w:space="4" w:color="000000"/>
        </w:pBdr>
        <w:jc w:val="both"/>
        <w:rPr>
          <w:b/>
          <w:bCs/>
          <w:sz w:val="20"/>
        </w:rPr>
      </w:pPr>
    </w:p>
    <w:p w:rsidR="005B6BE9" w:rsidRDefault="005B6BE9">
      <w:pPr>
        <w:pBdr>
          <w:top w:val="single" w:sz="4" w:space="1" w:color="000000"/>
          <w:left w:val="single" w:sz="4" w:space="4" w:color="000000"/>
          <w:bottom w:val="single" w:sz="4" w:space="1" w:color="000000"/>
          <w:right w:val="single" w:sz="4" w:space="4" w:color="000000"/>
        </w:pBdr>
        <w:jc w:val="both"/>
        <w:rPr>
          <w:bCs/>
          <w:sz w:val="20"/>
        </w:rPr>
      </w:pPr>
      <w:r>
        <w:rPr>
          <w:bCs/>
          <w:sz w:val="20"/>
        </w:rPr>
        <w:t>O programa de ensino será desenvolvido com base em:</w:t>
      </w:r>
    </w:p>
    <w:p w:rsidR="005B6BE9" w:rsidRDefault="005B6BE9">
      <w:pPr>
        <w:pBdr>
          <w:top w:val="single" w:sz="4" w:space="1" w:color="000000"/>
          <w:left w:val="single" w:sz="4" w:space="4" w:color="000000"/>
          <w:bottom w:val="single" w:sz="4" w:space="1" w:color="000000"/>
          <w:right w:val="single" w:sz="4" w:space="4" w:color="000000"/>
        </w:pBdr>
        <w:jc w:val="both"/>
        <w:rPr>
          <w:sz w:val="20"/>
        </w:rPr>
      </w:pPr>
      <w:r>
        <w:rPr>
          <w:bCs/>
          <w:sz w:val="20"/>
        </w:rPr>
        <w:t>aulas teórico-práticas; leituras e produção textual; atividades individuais e em grupo; refeitura das produções textuais.</w:t>
      </w:r>
    </w:p>
    <w:p w:rsidR="005B6BE9" w:rsidRDefault="005B6BE9">
      <w:pPr>
        <w:jc w:val="both"/>
        <w:rPr>
          <w:sz w:val="20"/>
        </w:rPr>
      </w:pPr>
    </w:p>
    <w:p w:rsidR="005B6BE9" w:rsidRDefault="005B6BE9">
      <w:pPr>
        <w:pBdr>
          <w:top w:val="single" w:sz="4" w:space="1" w:color="000000"/>
          <w:left w:val="single" w:sz="4" w:space="4" w:color="000000"/>
          <w:bottom w:val="single" w:sz="4" w:space="1" w:color="000000"/>
          <w:right w:val="single" w:sz="4" w:space="4" w:color="000000"/>
        </w:pBdr>
        <w:jc w:val="both"/>
        <w:rPr>
          <w:bCs/>
          <w:sz w:val="20"/>
        </w:rPr>
      </w:pPr>
      <w:r>
        <w:rPr>
          <w:b/>
          <w:bCs/>
          <w:sz w:val="20"/>
        </w:rPr>
        <w:t>AVALIAÇÃO:</w:t>
      </w:r>
    </w:p>
    <w:p w:rsidR="005B6BE9" w:rsidRDefault="005B6BE9">
      <w:pPr>
        <w:pBdr>
          <w:top w:val="single" w:sz="4" w:space="1" w:color="000000"/>
          <w:left w:val="single" w:sz="4" w:space="4" w:color="000000"/>
          <w:bottom w:val="single" w:sz="4" w:space="1" w:color="000000"/>
          <w:right w:val="single" w:sz="4" w:space="4" w:color="000000"/>
        </w:pBdr>
        <w:jc w:val="both"/>
        <w:rPr>
          <w:bCs/>
          <w:sz w:val="20"/>
        </w:rPr>
      </w:pPr>
    </w:p>
    <w:p w:rsidR="005B6BE9" w:rsidRDefault="005B6BE9">
      <w:pPr>
        <w:pBdr>
          <w:top w:val="single" w:sz="4" w:space="1" w:color="000000"/>
          <w:left w:val="single" w:sz="4" w:space="4" w:color="000000"/>
          <w:bottom w:val="single" w:sz="4" w:space="1" w:color="000000"/>
          <w:right w:val="single" w:sz="4" w:space="4" w:color="000000"/>
        </w:pBdr>
        <w:jc w:val="both"/>
        <w:rPr>
          <w:bCs/>
          <w:sz w:val="20"/>
        </w:rPr>
      </w:pPr>
      <w:r>
        <w:rPr>
          <w:bCs/>
          <w:sz w:val="20"/>
        </w:rPr>
        <w:t>A avaliação do acadêmico será obtida por:</w:t>
      </w:r>
      <w:r>
        <w:rPr>
          <w:sz w:val="20"/>
        </w:rPr>
        <w:t xml:space="preserve"> </w:t>
      </w:r>
      <w:r>
        <w:rPr>
          <w:bCs/>
          <w:sz w:val="20"/>
        </w:rPr>
        <w:t xml:space="preserve">T1+T2+T3+T4+T5. Todas as produções textuais terão o mesmo peso. A recuperação paralela ocorrerá com as refeituras dos textos. A nota da primeira produção será reajustada em no máximo dois pontos se houver progressão na refeitura dos textos conforme orientação dada. As produções textuais que apresentarem plágios serão zeradas sem direito à refeitura.  </w:t>
      </w:r>
    </w:p>
    <w:p w:rsidR="005B6BE9" w:rsidRDefault="005B6BE9">
      <w:pPr>
        <w:pBdr>
          <w:top w:val="single" w:sz="4" w:space="1" w:color="000000"/>
          <w:left w:val="single" w:sz="4" w:space="4" w:color="000000"/>
          <w:bottom w:val="single" w:sz="4" w:space="1" w:color="000000"/>
          <w:right w:val="single" w:sz="4" w:space="4" w:color="000000"/>
        </w:pBdr>
        <w:jc w:val="both"/>
        <w:rPr>
          <w:sz w:val="20"/>
        </w:rPr>
      </w:pPr>
      <w:r>
        <w:rPr>
          <w:bCs/>
          <w:sz w:val="20"/>
        </w:rPr>
        <w:t xml:space="preserve"> </w:t>
      </w:r>
    </w:p>
    <w:p w:rsidR="005B6BE9" w:rsidRDefault="005B6BE9">
      <w:pPr>
        <w:jc w:val="both"/>
        <w:rPr>
          <w:sz w:val="20"/>
        </w:rPr>
      </w:pPr>
    </w:p>
    <w:p w:rsidR="005B6BE9" w:rsidRDefault="005B6BE9">
      <w:pPr>
        <w:rPr>
          <w:sz w:val="20"/>
        </w:rPr>
      </w:pPr>
    </w:p>
    <w:p w:rsidR="005B6BE9" w:rsidRDefault="005B6BE9">
      <w:pPr>
        <w:rPr>
          <w:sz w:val="18"/>
          <w:szCs w:val="22"/>
        </w:rPr>
      </w:pPr>
      <w:r>
        <w:rPr>
          <w:b/>
          <w:sz w:val="20"/>
        </w:rPr>
        <w:t>Bibliografia Básica:</w:t>
      </w:r>
    </w:p>
    <w:tbl>
      <w:tblPr>
        <w:tblW w:w="0" w:type="auto"/>
        <w:tblInd w:w="-20" w:type="dxa"/>
        <w:tblLayout w:type="fixed"/>
        <w:tblCellMar>
          <w:left w:w="113" w:type="dxa"/>
        </w:tblCellMar>
        <w:tblLook w:val="0000"/>
      </w:tblPr>
      <w:tblGrid>
        <w:gridCol w:w="9079"/>
      </w:tblGrid>
      <w:tr w:rsidR="005B6BE9">
        <w:tc>
          <w:tcPr>
            <w:tcW w:w="9079" w:type="dxa"/>
            <w:tcBorders>
              <w:top w:val="single" w:sz="4" w:space="0" w:color="000000"/>
              <w:left w:val="single" w:sz="4" w:space="0" w:color="000000"/>
              <w:bottom w:val="single" w:sz="4" w:space="0" w:color="000000"/>
              <w:right w:val="single" w:sz="4" w:space="0" w:color="000000"/>
            </w:tcBorders>
            <w:shd w:val="clear" w:color="auto" w:fill="auto"/>
          </w:tcPr>
          <w:p w:rsidR="005B6BE9" w:rsidRDefault="005B6BE9">
            <w:pPr>
              <w:pStyle w:val="yiv981325567msonormal"/>
              <w:spacing w:before="0" w:after="0"/>
              <w:jc w:val="both"/>
              <w:rPr>
                <w:sz w:val="20"/>
              </w:rPr>
            </w:pPr>
            <w:r>
              <w:rPr>
                <w:sz w:val="18"/>
                <w:szCs w:val="22"/>
              </w:rPr>
              <w:t xml:space="preserve">LAKATOS, E. M.; MARCONI, M. A. </w:t>
            </w:r>
            <w:r>
              <w:rPr>
                <w:b/>
                <w:sz w:val="18"/>
                <w:szCs w:val="22"/>
              </w:rPr>
              <w:t>Metodologia do trabalho científico:</w:t>
            </w:r>
            <w:r>
              <w:rPr>
                <w:sz w:val="18"/>
                <w:szCs w:val="22"/>
              </w:rPr>
              <w:t xml:space="preserve"> procedimentos básicos, pesquisa bibliográfica, projeto e relatório, publicações e trabalhos científicos. 7.ed. São Paulo: Atlas, 2007.</w:t>
            </w:r>
          </w:p>
          <w:p w:rsidR="005B6BE9" w:rsidRDefault="005B6BE9">
            <w:pPr>
              <w:jc w:val="both"/>
              <w:rPr>
                <w:sz w:val="20"/>
              </w:rPr>
            </w:pPr>
            <w:r>
              <w:rPr>
                <w:sz w:val="20"/>
              </w:rPr>
              <w:t xml:space="preserve">MEDEIROS, J. B. </w:t>
            </w:r>
            <w:r>
              <w:rPr>
                <w:b/>
                <w:sz w:val="20"/>
              </w:rPr>
              <w:t>Redação Científica:</w:t>
            </w:r>
            <w:r>
              <w:rPr>
                <w:sz w:val="20"/>
              </w:rPr>
              <w:t xml:space="preserve"> A prática de fichamentos, resumos e resenhas. 11.ed. São Paulo, Atlas, 2009.</w:t>
            </w:r>
          </w:p>
          <w:p w:rsidR="005B6BE9" w:rsidRDefault="005B6BE9">
            <w:pPr>
              <w:jc w:val="both"/>
            </w:pPr>
            <w:r>
              <w:rPr>
                <w:sz w:val="20"/>
              </w:rPr>
              <w:t xml:space="preserve">MEDEIROS, J. B. </w:t>
            </w:r>
            <w:r>
              <w:rPr>
                <w:b/>
                <w:sz w:val="20"/>
              </w:rPr>
              <w:t>Correspondência:</w:t>
            </w:r>
            <w:r>
              <w:rPr>
                <w:sz w:val="20"/>
              </w:rPr>
              <w:t xml:space="preserve"> Técnicas de comunicação criativa. 20.ed. São Paulo, Atlas, 2010.</w:t>
            </w:r>
          </w:p>
        </w:tc>
      </w:tr>
    </w:tbl>
    <w:p w:rsidR="005B6BE9" w:rsidRDefault="005B6BE9"/>
    <w:p w:rsidR="005B6BE9" w:rsidRDefault="005B6BE9">
      <w:pPr>
        <w:rPr>
          <w:sz w:val="18"/>
          <w:szCs w:val="22"/>
        </w:rPr>
      </w:pPr>
      <w:r>
        <w:rPr>
          <w:b/>
          <w:sz w:val="20"/>
        </w:rPr>
        <w:t>Bibliografia Complementar:</w:t>
      </w:r>
    </w:p>
    <w:tbl>
      <w:tblPr>
        <w:tblW w:w="0" w:type="auto"/>
        <w:tblInd w:w="-20" w:type="dxa"/>
        <w:tblLayout w:type="fixed"/>
        <w:tblCellMar>
          <w:left w:w="113" w:type="dxa"/>
        </w:tblCellMar>
        <w:tblLook w:val="0000"/>
      </w:tblPr>
      <w:tblGrid>
        <w:gridCol w:w="9079"/>
      </w:tblGrid>
      <w:tr w:rsidR="005B6BE9">
        <w:tc>
          <w:tcPr>
            <w:tcW w:w="9079" w:type="dxa"/>
            <w:tcBorders>
              <w:top w:val="single" w:sz="4" w:space="0" w:color="000000"/>
              <w:left w:val="single" w:sz="4" w:space="0" w:color="000000"/>
              <w:bottom w:val="single" w:sz="4" w:space="0" w:color="000000"/>
              <w:right w:val="single" w:sz="4" w:space="0" w:color="000000"/>
            </w:tcBorders>
            <w:shd w:val="clear" w:color="auto" w:fill="auto"/>
          </w:tcPr>
          <w:p w:rsidR="005B6BE9" w:rsidRDefault="005B6BE9">
            <w:pPr>
              <w:pStyle w:val="Corpodetexto"/>
              <w:rPr>
                <w:sz w:val="18"/>
                <w:szCs w:val="22"/>
              </w:rPr>
            </w:pPr>
            <w:r>
              <w:rPr>
                <w:sz w:val="18"/>
                <w:szCs w:val="22"/>
              </w:rPr>
              <w:t xml:space="preserve">ARGENTI, P. P. </w:t>
            </w:r>
            <w:r>
              <w:rPr>
                <w:b/>
                <w:sz w:val="18"/>
                <w:szCs w:val="22"/>
              </w:rPr>
              <w:t>Comunicação empresarial:</w:t>
            </w:r>
            <w:r>
              <w:rPr>
                <w:sz w:val="18"/>
                <w:szCs w:val="22"/>
              </w:rPr>
              <w:t xml:space="preserve"> a construção da identidade, imagem e reputação.      Rio de Janeiro: Elsevier, 2006.</w:t>
            </w:r>
          </w:p>
          <w:p w:rsidR="005B6BE9" w:rsidRDefault="005B6BE9">
            <w:pPr>
              <w:pStyle w:val="Corpodetexto"/>
              <w:rPr>
                <w:sz w:val="18"/>
                <w:szCs w:val="22"/>
              </w:rPr>
            </w:pPr>
            <w:r>
              <w:rPr>
                <w:sz w:val="18"/>
                <w:szCs w:val="22"/>
              </w:rPr>
              <w:t xml:space="preserve">BAKHTIN, M. </w:t>
            </w:r>
            <w:r>
              <w:rPr>
                <w:b/>
                <w:bCs/>
                <w:sz w:val="18"/>
                <w:szCs w:val="22"/>
              </w:rPr>
              <w:t>Estética da criação verbal</w:t>
            </w:r>
            <w:r>
              <w:rPr>
                <w:b/>
                <w:sz w:val="18"/>
                <w:szCs w:val="22"/>
              </w:rPr>
              <w:t>.</w:t>
            </w:r>
            <w:r>
              <w:rPr>
                <w:sz w:val="18"/>
                <w:szCs w:val="22"/>
              </w:rPr>
              <w:t xml:space="preserve"> 5.ed. São Paulo: Martins Fontes, 2010.</w:t>
            </w:r>
          </w:p>
          <w:p w:rsidR="005B6BE9" w:rsidRDefault="005B6BE9">
            <w:pPr>
              <w:pStyle w:val="yiv981325567msonormal"/>
              <w:spacing w:before="0" w:after="0"/>
              <w:jc w:val="both"/>
              <w:rPr>
                <w:sz w:val="18"/>
                <w:szCs w:val="22"/>
              </w:rPr>
            </w:pPr>
            <w:r>
              <w:rPr>
                <w:sz w:val="18"/>
                <w:szCs w:val="22"/>
              </w:rPr>
              <w:t>GARCIA, O. M.</w:t>
            </w:r>
            <w:r>
              <w:rPr>
                <w:b/>
                <w:sz w:val="18"/>
                <w:szCs w:val="22"/>
              </w:rPr>
              <w:t>Comunicação em prosa moderna:</w:t>
            </w:r>
            <w:r>
              <w:rPr>
                <w:sz w:val="18"/>
                <w:szCs w:val="22"/>
              </w:rPr>
              <w:t xml:space="preserve"> aprenda a escrever, aprendendo a pensar. 27.ed. Rio de Janeiro: Editora FGV, 2010.</w:t>
            </w:r>
          </w:p>
          <w:p w:rsidR="005B6BE9" w:rsidRDefault="005B6BE9">
            <w:pPr>
              <w:pStyle w:val="yiv981325567msonormal"/>
              <w:spacing w:before="0" w:after="0"/>
              <w:jc w:val="both"/>
              <w:rPr>
                <w:b/>
                <w:sz w:val="18"/>
                <w:szCs w:val="22"/>
              </w:rPr>
            </w:pPr>
            <w:r>
              <w:rPr>
                <w:sz w:val="18"/>
                <w:szCs w:val="22"/>
              </w:rPr>
              <w:t xml:space="preserve">NADÓLSKIS, H. </w:t>
            </w:r>
            <w:r>
              <w:rPr>
                <w:b/>
                <w:bCs/>
                <w:sz w:val="18"/>
                <w:szCs w:val="22"/>
              </w:rPr>
              <w:t>Comunicação redacional atualizada.</w:t>
            </w:r>
            <w:r>
              <w:rPr>
                <w:sz w:val="18"/>
                <w:szCs w:val="22"/>
              </w:rPr>
              <w:t xml:space="preserve"> 11.ed. rev. e atual. São Paulo: Saraiva, 2009.</w:t>
            </w:r>
          </w:p>
          <w:p w:rsidR="005B6BE9" w:rsidRDefault="005B6BE9">
            <w:pPr>
              <w:pStyle w:val="yiv981325567msonormal"/>
              <w:spacing w:before="0" w:after="0"/>
              <w:jc w:val="both"/>
            </w:pPr>
            <w:r>
              <w:rPr>
                <w:b/>
                <w:sz w:val="18"/>
                <w:szCs w:val="22"/>
              </w:rPr>
              <w:t>OS DEGRAUS da produção textual.</w:t>
            </w:r>
            <w:r>
              <w:rPr>
                <w:sz w:val="18"/>
                <w:szCs w:val="22"/>
              </w:rPr>
              <w:t xml:space="preserve"> Bauru, SP: EDUSC, 2003.</w:t>
            </w:r>
            <w:r>
              <w:rPr>
                <w:sz w:val="20"/>
              </w:rPr>
              <w:t xml:space="preserve"> </w:t>
            </w:r>
            <w:r>
              <w:rPr>
                <w:sz w:val="18"/>
                <w:szCs w:val="22"/>
              </w:rPr>
              <w:t>Coleção plural.</w:t>
            </w:r>
          </w:p>
        </w:tc>
      </w:tr>
    </w:tbl>
    <w:p w:rsidR="005B6BE9" w:rsidRDefault="005B6BE9"/>
    <w:sectPr w:rsidR="005B6BE9">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WenQuanYi Micro Hei">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729C3"/>
    <w:rsid w:val="0008593A"/>
    <w:rsid w:val="005B6BE9"/>
    <w:rsid w:val="00794AE0"/>
    <w:rsid w:val="00886EC1"/>
    <w:rsid w:val="009729C3"/>
    <w:rsid w:val="00AA11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zh-CN"/>
    </w:rPr>
  </w:style>
  <w:style w:type="paragraph" w:styleId="Ttulo1">
    <w:name w:val="heading 1"/>
    <w:basedOn w:val="Normal"/>
    <w:next w:val="Corpodetexto"/>
    <w:qFormat/>
    <w:pPr>
      <w:keepNext/>
      <w:numPr>
        <w:numId w:val="2"/>
      </w:numPr>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style>
  <w:style w:type="character" w:customStyle="1" w:styleId="DefaultParagraphFont">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Fontepargpadro1">
    <w:name w:val="Fonte parág. padrão1"/>
  </w:style>
  <w:style w:type="character" w:customStyle="1" w:styleId="Ttulo1Char">
    <w:name w:val="Título 1 Char"/>
    <w:basedOn w:val="Fontepargpadro1"/>
    <w:rPr>
      <w:rFonts w:ascii="Times New Roman" w:eastAsia="Times New Roman" w:hAnsi="Times New Roman" w:cs="Times New Roman"/>
      <w:b/>
      <w:bCs/>
      <w:sz w:val="24"/>
      <w:szCs w:val="24"/>
    </w:rPr>
  </w:style>
  <w:style w:type="character" w:customStyle="1" w:styleId="CorpodetextoChar">
    <w:name w:val="Corpo de texto Char"/>
    <w:basedOn w:val="Fontepargpadro1"/>
    <w:rPr>
      <w:rFonts w:ascii="Times New Roman" w:eastAsia="Times New Roman" w:hAnsi="Times New Roman" w:cs="Times New Roman"/>
      <w:sz w:val="24"/>
      <w:szCs w:val="24"/>
    </w:rPr>
  </w:style>
  <w:style w:type="character" w:styleId="Hyperlink">
    <w:name w:val="Hyperlink"/>
    <w:basedOn w:val="Fontepargpadro1"/>
    <w:rPr>
      <w:color w:val="0000FF"/>
      <w:u w:val="single"/>
      <w:lang/>
    </w:rPr>
  </w:style>
  <w:style w:type="character" w:styleId="Forte">
    <w:name w:val="Strong"/>
    <w:basedOn w:val="Fontepargpadro1"/>
    <w:qFormat/>
    <w:rPr>
      <w:b/>
      <w:bCs/>
    </w:rPr>
  </w:style>
  <w:style w:type="character" w:customStyle="1" w:styleId="Marcas">
    <w:name w:val="Marcas"/>
    <w:rPr>
      <w:rFonts w:ascii="OpenSymbol" w:eastAsia="OpenSymbol" w:hAnsi="OpenSymbol" w:cs="OpenSymbol"/>
    </w:rPr>
  </w:style>
  <w:style w:type="character" w:customStyle="1" w:styleId="annotationreference">
    <w:name w:val="annotation reference"/>
    <w:basedOn w:val="DefaultParagraphFont"/>
    <w:rPr>
      <w:sz w:val="16"/>
      <w:szCs w:val="16"/>
    </w:rPr>
  </w:style>
  <w:style w:type="character" w:customStyle="1" w:styleId="TextodecomentrioChar">
    <w:name w:val="Texto de comentário Char"/>
    <w:basedOn w:val="DefaultParagraphFont"/>
    <w:rPr>
      <w:lang w:eastAsia="zh-CN"/>
    </w:rPr>
  </w:style>
  <w:style w:type="character" w:customStyle="1" w:styleId="AssuntodocomentrioChar">
    <w:name w:val="Assunto do comentário Char"/>
    <w:basedOn w:val="TextodecomentrioChar"/>
    <w:rPr>
      <w:b/>
      <w:bCs/>
    </w:rPr>
  </w:style>
  <w:style w:type="character" w:customStyle="1" w:styleId="TextodebaloChar">
    <w:name w:val="Texto de balão Char"/>
    <w:basedOn w:val="DefaultParagraphFont"/>
    <w:rPr>
      <w:rFonts w:ascii="Tahoma" w:hAnsi="Tahoma" w:cs="Tahoma"/>
      <w:sz w:val="16"/>
      <w:szCs w:val="16"/>
      <w:lang w:eastAsia="zh-CN"/>
    </w:rPr>
  </w:style>
  <w:style w:type="paragraph" w:customStyle="1" w:styleId="Ttulo3">
    <w:name w:val="Título3"/>
    <w:basedOn w:val="Normal"/>
    <w:next w:val="Corpodetexto"/>
    <w:pPr>
      <w:keepNext/>
      <w:spacing w:before="240" w:after="120"/>
    </w:pPr>
    <w:rPr>
      <w:rFonts w:ascii="Liberation Sans" w:eastAsia="DejaVu Sans" w:hAnsi="Liberation Sans" w:cs="Lohit Hindi"/>
      <w:sz w:val="28"/>
      <w:szCs w:val="28"/>
    </w:rPr>
  </w:style>
  <w:style w:type="paragraph" w:styleId="Corpodetexto">
    <w:name w:val="Body Text"/>
    <w:basedOn w:val="Normal"/>
    <w:pPr>
      <w:jc w:val="both"/>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Ttulo2">
    <w:name w:val="Título2"/>
    <w:basedOn w:val="Normal"/>
    <w:next w:val="Corpodetexto"/>
    <w:pPr>
      <w:keepNext/>
      <w:spacing w:before="240" w:after="120"/>
    </w:pPr>
    <w:rPr>
      <w:rFonts w:ascii="Liberation Sans" w:eastAsia="DejaVu Sans" w:hAnsi="Liberation Sans" w:cs="Lohit Hindi"/>
      <w:sz w:val="28"/>
      <w:szCs w:val="28"/>
    </w:rPr>
  </w:style>
  <w:style w:type="paragraph" w:customStyle="1" w:styleId="Ttulo10">
    <w:name w:val="Título1"/>
    <w:basedOn w:val="Normal"/>
    <w:pPr>
      <w:keepNext/>
      <w:spacing w:before="240" w:after="120"/>
    </w:pPr>
    <w:rPr>
      <w:rFonts w:ascii="Liberation Sans" w:eastAsia="WenQuanYi Micro Hei" w:hAnsi="Liberation Sans" w:cs="Lohit Hindi"/>
      <w:sz w:val="28"/>
      <w:szCs w:val="28"/>
    </w:rPr>
  </w:style>
  <w:style w:type="paragraph" w:customStyle="1" w:styleId="caption">
    <w:name w:val="caption"/>
    <w:basedOn w:val="Normal"/>
    <w:pPr>
      <w:suppressLineNumbers/>
      <w:spacing w:before="120" w:after="120"/>
    </w:pPr>
    <w:rPr>
      <w:rFonts w:cs="Lohit Hindi"/>
      <w:i/>
      <w:iCs/>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yiv981325567msonormal">
    <w:name w:val="yiv981325567msonormal"/>
    <w:basedOn w:val="Normal"/>
    <w:pPr>
      <w:spacing w:before="28" w:after="28"/>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customStyle="1" w:styleId="BalloonText">
    <w:name w:val="Balloon Text"/>
    <w:basedOn w:val="Normal"/>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6563015</cp:lastModifiedBy>
  <cp:revision>2</cp:revision>
  <cp:lastPrinted>2014-03-10T18:10:00Z</cp:lastPrinted>
  <dcterms:created xsi:type="dcterms:W3CDTF">2014-07-21T17:17:00Z</dcterms:created>
  <dcterms:modified xsi:type="dcterms:W3CDTF">2014-07-21T17:17:00Z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UDESC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