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2A" w:rsidRDefault="00D91339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449580</wp:posOffset>
            </wp:positionV>
            <wp:extent cx="1351915" cy="595630"/>
            <wp:effectExtent l="1905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497F">
        <w:rPr>
          <w:rFonts w:ascii="Arial" w:hAnsi="Arial" w:cs="Arial"/>
        </w:rPr>
        <w:t>UNIVERSIDADE DO ESTADO DE SANTA CATARINA – UDESC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7082A" w:rsidRDefault="0084497F">
      <w:pPr>
        <w:widowControl w:val="0"/>
        <w:autoSpaceDE w:val="0"/>
        <w:autoSpaceDN w:val="0"/>
        <w:adjustRightInd w:val="0"/>
        <w:spacing w:after="0" w:line="239" w:lineRule="auto"/>
        <w:ind w:left="2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CENTRO DE ECAÇÃO SUPERIOR DO ALTO VALE DO ITAJAÍ – CEAVI</w:t>
      </w:r>
    </w:p>
    <w:p w:rsidR="00E7082A" w:rsidRDefault="00D913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514350</wp:posOffset>
            </wp:positionV>
            <wp:extent cx="6271260" cy="214185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4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82A" w:rsidRDefault="00E708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82A" w:rsidRDefault="00E708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082A" w:rsidRDefault="00E7082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E7082A" w:rsidRDefault="0084497F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PLANO DE ENSINO</w:t>
      </w:r>
    </w:p>
    <w:p w:rsidR="00E7082A" w:rsidRDefault="0084497F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DEPARTAMENTO: DSI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E7082A" w:rsidRDefault="0084497F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DISCIPLINA: Desenho Técnico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SIGLA: </w:t>
      </w:r>
      <w:r>
        <w:rPr>
          <w:rFonts w:ascii="Times New Roman" w:hAnsi="Times New Roman" w:cs="Times New Roman"/>
          <w:sz w:val="23"/>
          <w:szCs w:val="23"/>
        </w:rPr>
        <w:t>DTE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E7082A" w:rsidRDefault="0084497F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PROFESSORA: Edson Elias Citadin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E-MAIL: </w:t>
      </w:r>
      <w:r>
        <w:rPr>
          <w:rFonts w:ascii="Times New Roman" w:hAnsi="Times New Roman" w:cs="Times New Roman"/>
          <w:b/>
          <w:bCs/>
          <w:color w:val="0000FF"/>
          <w:sz w:val="23"/>
          <w:szCs w:val="23"/>
          <w:u w:val="single"/>
        </w:rPr>
        <w:t>eec.nosde@bol.com.br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7082A" w:rsidRDefault="0084497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CARGA HORÁRIA TOTAL: 54 horas   TEORIA: 54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E7082A" w:rsidRDefault="0084497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CURSO(S): Bacharelado em Engenharia Sanitária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E7082A" w:rsidRDefault="0084497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SEMESTRE/ANO: 2/2012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PRÉ-REQUISITOS: -</w:t>
      </w:r>
    </w:p>
    <w:p w:rsidR="00E7082A" w:rsidRDefault="00D9133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195580</wp:posOffset>
            </wp:positionV>
            <wp:extent cx="6271260" cy="108966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82A" w:rsidRDefault="0084497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EMENTA: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E7082A" w:rsidRDefault="0084497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Introdução ao desenho. Classificação do desenho técnico. Normas. Caligrafia técnica. Simbologia. Formatos padronizados. Legendas. Tipos de linhas. Sistemas de projeção. Vistas ortográficas. Diferença entre 1 e 3 diedros. Esboços ortográficos. Cortes. Perspectivas axonométricas. Esboços em perspectivas. Intersecção e desenvolvimento (planificação). Tubulação (canalização). Desenhos de conjunto e de detalhes.</w:t>
      </w:r>
    </w:p>
    <w:p w:rsidR="00E7082A" w:rsidRDefault="00D91339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198120</wp:posOffset>
            </wp:positionV>
            <wp:extent cx="6271260" cy="239014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82A" w:rsidRDefault="0084497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 GERAL DA DISCIPLINA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E7082A" w:rsidRDefault="0084497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firstLine="4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aluno deverá ser capaz de interpretar e desenhar com instrumentos, perspectivas de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sólidos. Desenho topográfico. Sistema de abastecimento de água predial e industrial, desenho de instalações sanitárias urbanas e rurais, empregando as técnicas, convenções e normas de projeto no desenho técnico.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E7082A" w:rsidRDefault="0084497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OBJETIVOS ESPECÍFICOS/DISCIPLINA: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E7082A" w:rsidRDefault="0084497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Desenvolver as técnicas de desenho com instrumentos observando sua utilização racional. Aplicar regras gerais de cotas e escalas.</w:t>
      </w:r>
    </w:p>
    <w:p w:rsidR="00E7082A" w:rsidRDefault="0084497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Desenhar e sombrear perspectivas de sólido.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E7082A" w:rsidRDefault="0084497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Desenhar vistas ortográficas, perspectivas isométricas e cavaleira dentro das convenções estabelecidas pela ABNT.</w:t>
      </w:r>
    </w:p>
    <w:p w:rsidR="00E7082A" w:rsidRDefault="0084497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Conhecer os métodos de representação de canalização de hidrosanitárias, sua simbologia e aplicação.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980"/>
        <w:gridCol w:w="7900"/>
      </w:tblGrid>
      <w:tr w:rsidR="00E7082A">
        <w:trPr>
          <w:trHeight w:val="305"/>
        </w:trPr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CRONOGRAMA DE ATIVIDADES</w:t>
            </w:r>
          </w:p>
        </w:tc>
      </w:tr>
      <w:tr w:rsidR="00E7082A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Conteúdo</w:t>
            </w:r>
          </w:p>
        </w:tc>
      </w:tr>
      <w:tr w:rsidR="00E7082A">
        <w:trPr>
          <w:trHeight w:val="25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27/07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Apresentação da disciplina – cronograma das atividades e avaliação.</w:t>
            </w:r>
          </w:p>
        </w:tc>
      </w:tr>
      <w:tr w:rsidR="00E7082A"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ao desenho técnico e sua diferenciação para o desenho artístico.</w:t>
            </w:r>
          </w:p>
        </w:tc>
      </w:tr>
      <w:tr w:rsidR="00E7082A"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Aspectos  gerais:  escrita  normalizada,  tipos  de  linhas,  folhas  de  desenho,</w:t>
            </w:r>
          </w:p>
        </w:tc>
      </w:tr>
      <w:tr w:rsidR="00E7082A"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legendas, margens e molduras.</w:t>
            </w:r>
          </w:p>
        </w:tc>
      </w:tr>
      <w:tr w:rsidR="00E7082A"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03/08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Verificação dos instrumentos de desenho e instruções de uso.</w:t>
            </w:r>
          </w:p>
        </w:tc>
      </w:tr>
      <w:tr w:rsidR="00E7082A"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Legendas e escalas. Desenho de polígonos com o uso dos instrumentos.</w:t>
            </w:r>
          </w:p>
        </w:tc>
      </w:tr>
      <w:tr w:rsidR="00E7082A"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10/08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Construções    geométricas:    bissetrizes,    perpendiculares    e    paralelas.</w:t>
            </w:r>
          </w:p>
        </w:tc>
      </w:tr>
      <w:tr w:rsidR="00E7082A"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Circunferências e tangências.</w:t>
            </w:r>
          </w:p>
        </w:tc>
      </w:tr>
    </w:tbl>
    <w:p w:rsidR="00E7082A" w:rsidRDefault="00E7082A">
      <w:pPr>
        <w:widowControl w:val="0"/>
        <w:numPr>
          <w:ilvl w:val="0"/>
          <w:numId w:val="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767"/>
        <w:jc w:val="both"/>
        <w:rPr>
          <w:rFonts w:ascii="Times New Roman" w:hAnsi="Times New Roman" w:cs="Times New Roman"/>
          <w:sz w:val="24"/>
          <w:szCs w:val="24"/>
        </w:rPr>
      </w:pPr>
      <w:r w:rsidRPr="00E7082A">
        <w:rPr>
          <w:noProof/>
        </w:rPr>
        <w:pict>
          <v:line id="_x0000_s1030" style="position:absolute;left:0;text-align:left;z-index:-251654144;mso-position-horizontal-relative:text;mso-position-vertical-relative:text" from="41.05pt,-124.9pt" to="41.05pt,43.3pt" o:allowincell="f" strokeweight=".72pt"/>
        </w:pict>
      </w:r>
      <w:r w:rsidRPr="00E7082A">
        <w:rPr>
          <w:noProof/>
        </w:rPr>
        <w:pict>
          <v:line id="_x0000_s1031" style="position:absolute;left:0;text-align:left;z-index:-251653120;mso-position-horizontal-relative:text;mso-position-vertical-relative:text" from="97.8pt,-124.9pt" to="97.8pt,43.3pt" o:allowincell="f" strokeweight=".16931mm"/>
        </w:pict>
      </w:r>
      <w:r w:rsidR="0084497F">
        <w:rPr>
          <w:rFonts w:ascii="Times New Roman" w:hAnsi="Times New Roman" w:cs="Times New Roman"/>
          <w:sz w:val="24"/>
          <w:szCs w:val="24"/>
        </w:rPr>
        <w:t xml:space="preserve">17/08 </w:t>
      </w:r>
      <w:r w:rsidR="0084497F">
        <w:rPr>
          <w:rFonts w:ascii="Times New Roman" w:hAnsi="Times New Roman" w:cs="Times New Roman"/>
          <w:b/>
          <w:bCs/>
          <w:sz w:val="23"/>
          <w:szCs w:val="23"/>
        </w:rPr>
        <w:t xml:space="preserve">Trabalho 1 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7082A" w:rsidRDefault="0084497F">
      <w:pPr>
        <w:widowControl w:val="0"/>
        <w:numPr>
          <w:ilvl w:val="0"/>
          <w:numId w:val="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5" w:lineRule="auto"/>
        <w:ind w:left="1120" w:hanging="7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24/08 Eixos de simetria e curvas cônicas. </w:t>
      </w:r>
    </w:p>
    <w:p w:rsidR="00E7082A" w:rsidRDefault="0084497F">
      <w:pPr>
        <w:widowControl w:val="0"/>
        <w:numPr>
          <w:ilvl w:val="0"/>
          <w:numId w:val="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7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31/08 Exercícios 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E7082A">
        <w:rPr>
          <w:noProof/>
        </w:rPr>
        <w:pict>
          <v:line id="_x0000_s1032" style="position:absolute;z-index:-251652096;mso-position-horizontal-relative:text;mso-position-vertical-relative:text" from="-.45pt,1.2pt" to="487.75pt,1.2pt" o:allowincell="f" strokeweight="1.44pt"/>
        </w:pict>
      </w:r>
    </w:p>
    <w:p w:rsidR="00E7082A" w:rsidRDefault="00E7082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E7082A">
          <w:pgSz w:w="11900" w:h="16841"/>
          <w:pgMar w:top="945" w:right="1120" w:bottom="991" w:left="1020" w:header="720" w:footer="720" w:gutter="0"/>
          <w:cols w:space="720" w:equalWidth="0">
            <w:col w:w="97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1040"/>
        <w:gridCol w:w="7900"/>
      </w:tblGrid>
      <w:tr w:rsidR="00E7082A">
        <w:trPr>
          <w:trHeight w:val="25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D9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page3"/>
            <w:bookmarkEnd w:id="0"/>
            <w:r>
              <w:rPr>
                <w:noProof/>
                <w:lang w:val="pt-BR" w:eastAsia="pt-BR"/>
              </w:rPr>
              <w:lastRenderedPageBreak/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page">
                    <wp:posOffset>719455</wp:posOffset>
                  </wp:positionH>
                  <wp:positionV relativeFrom="page">
                    <wp:posOffset>449580</wp:posOffset>
                  </wp:positionV>
                  <wp:extent cx="1351915" cy="595630"/>
                  <wp:effectExtent l="19050" t="0" r="635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UNIVERSIDADE DO ESTADO DE SANTA CATARINA – UDESC</w:t>
            </w:r>
          </w:p>
        </w:tc>
      </w:tr>
      <w:tr w:rsidR="00E7082A">
        <w:trPr>
          <w:trHeight w:val="25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CENTRO DE ECAÇÃO SUPERIOR DO ALTO VALE DO ITAJAÍ – CEAVI</w:t>
            </w:r>
          </w:p>
        </w:tc>
      </w:tr>
      <w:tr w:rsidR="00E7082A">
        <w:trPr>
          <w:trHeight w:val="542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82A">
        <w:trPr>
          <w:trHeight w:val="27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14/09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Prova 1</w:t>
            </w:r>
          </w:p>
        </w:tc>
      </w:tr>
      <w:tr w:rsidR="00E7082A">
        <w:trPr>
          <w:trHeight w:val="27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21/09Projeções ortogonais. Sistemas de projeção. Apresentação dos quatro diedros.</w:t>
            </w:r>
          </w:p>
        </w:tc>
      </w:tr>
      <w:tr w:rsidR="00E7082A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Estudo do diedro 1. Vistas principais e preferenciais.</w:t>
            </w:r>
          </w:p>
        </w:tc>
      </w:tr>
      <w:tr w:rsidR="00E7082A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28/09Estudo do diedro 3. Vistas principais e preferenciais.</w:t>
            </w:r>
          </w:p>
        </w:tc>
      </w:tr>
      <w:tr w:rsidR="00E7082A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05/10Comparação dos diedros 1 e 3. Vistas principais e preferenciais. Esboços</w:t>
            </w:r>
          </w:p>
        </w:tc>
      </w:tr>
      <w:tr w:rsidR="00E7082A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ortográficos e leitura de uma projeção.</w:t>
            </w:r>
          </w:p>
        </w:tc>
      </w:tr>
      <w:tr w:rsidR="00E7082A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Feriado</w:t>
            </w:r>
          </w:p>
        </w:tc>
      </w:tr>
      <w:tr w:rsidR="00E7082A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19/10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Exercícios</w:t>
            </w:r>
          </w:p>
        </w:tc>
      </w:tr>
      <w:tr w:rsidR="00E7082A">
        <w:trPr>
          <w:trHeight w:val="28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26/10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Prova 2</w:t>
            </w:r>
          </w:p>
        </w:tc>
      </w:tr>
      <w:tr w:rsidR="00E7082A">
        <w:trPr>
          <w:trHeight w:val="27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02/11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Feriado</w:t>
            </w:r>
          </w:p>
        </w:tc>
      </w:tr>
    </w:tbl>
    <w:p w:rsidR="00E7082A" w:rsidRDefault="00E7082A">
      <w:pPr>
        <w:widowControl w:val="0"/>
        <w:numPr>
          <w:ilvl w:val="0"/>
          <w:numId w:val="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827"/>
        <w:jc w:val="both"/>
        <w:rPr>
          <w:rFonts w:ascii="Times New Roman" w:hAnsi="Times New Roman" w:cs="Times New Roman"/>
          <w:sz w:val="24"/>
          <w:szCs w:val="24"/>
        </w:rPr>
      </w:pPr>
      <w:r w:rsidRPr="00E7082A">
        <w:rPr>
          <w:noProof/>
        </w:rPr>
        <w:pict>
          <v:line id="_x0000_s1034" style="position:absolute;left:0;text-align:left;z-index:-251650048;mso-position-horizontal-relative:text;mso-position-vertical-relative:text" from="41.05pt,-138.95pt" to="41.05pt,70.9pt" o:allowincell="f" strokeweight=".72pt"/>
        </w:pict>
      </w:r>
      <w:r w:rsidRPr="00E7082A">
        <w:rPr>
          <w:noProof/>
        </w:rPr>
        <w:pict>
          <v:line id="_x0000_s1035" style="position:absolute;left:0;text-align:left;z-index:-251649024;mso-position-horizontal-relative:text;mso-position-vertical-relative:text" from="97.8pt,-138.95pt" to="97.8pt,70.9pt" o:allowincell="f" strokeweight=".16931mm"/>
        </w:pict>
      </w:r>
      <w:r w:rsidR="0084497F">
        <w:rPr>
          <w:rFonts w:ascii="Times New Roman" w:hAnsi="Times New Roman" w:cs="Times New Roman"/>
          <w:sz w:val="24"/>
          <w:szCs w:val="24"/>
        </w:rPr>
        <w:t xml:space="preserve">09/11 Cortes, regras gerais. Vistas especiais e cotagem. Perspectiva. </w:t>
      </w:r>
    </w:p>
    <w:p w:rsidR="00E7082A" w:rsidRDefault="0084497F">
      <w:pPr>
        <w:widowControl w:val="0"/>
        <w:numPr>
          <w:ilvl w:val="0"/>
          <w:numId w:val="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16/11 Feriado </w:t>
      </w:r>
      <w:r>
        <w:rPr>
          <w:rFonts w:ascii="Times New Roman" w:hAnsi="Times New Roman" w:cs="Times New Roman"/>
          <w:b/>
          <w:bCs/>
          <w:sz w:val="24"/>
          <w:szCs w:val="24"/>
        </w:rPr>
        <w:t>(Trabalho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040"/>
        <w:gridCol w:w="1220"/>
      </w:tblGrid>
      <w:tr w:rsidR="00E7082A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Tubulação</w:t>
            </w:r>
          </w:p>
        </w:tc>
      </w:tr>
      <w:tr w:rsidR="00E7082A">
        <w:trPr>
          <w:trHeight w:val="28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Prova 3</w:t>
            </w:r>
          </w:p>
        </w:tc>
      </w:tr>
      <w:tr w:rsidR="00E7082A">
        <w:trPr>
          <w:trHeight w:val="27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E70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82A" w:rsidRDefault="008449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Exames</w:t>
            </w:r>
          </w:p>
        </w:tc>
      </w:tr>
    </w:tbl>
    <w:p w:rsidR="00E7082A" w:rsidRDefault="00E7082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r w:rsidRPr="00E7082A">
        <w:rPr>
          <w:noProof/>
        </w:rPr>
        <w:pict>
          <v:line id="_x0000_s1036" style="position:absolute;z-index:-251648000;mso-position-horizontal-relative:text;mso-position-vertical-relative:text" from="-.45pt,1.2pt" to="487.75pt,1.2pt" o:allowincell="f" strokeweight="1.44pt"/>
        </w:pict>
      </w:r>
      <w:r w:rsidR="00D91339">
        <w:rPr>
          <w:noProof/>
          <w:lang w:val="pt-BR" w:eastAsia="pt-BR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200025</wp:posOffset>
            </wp:positionV>
            <wp:extent cx="6271260" cy="534670"/>
            <wp:effectExtent l="1905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82A" w:rsidRDefault="0084497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METODOLOGIA PROPOSTA: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7082A" w:rsidRDefault="0084497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firstLine="4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O programa será desenvolvido através de aulas expositivas dialogadas, discussão de desenhos, construção e interpretação.</w:t>
      </w:r>
    </w:p>
    <w:p w:rsidR="00E7082A" w:rsidRDefault="00D9133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196850</wp:posOffset>
            </wp:positionV>
            <wp:extent cx="6271260" cy="1080770"/>
            <wp:effectExtent l="1905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82A" w:rsidRDefault="0084497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AVALIAÇÃO:</w:t>
      </w:r>
    </w:p>
    <w:p w:rsidR="00E7082A" w:rsidRDefault="0084497F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Serão utilizados os seguintes instrumentos de avaliação: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7082A" w:rsidRDefault="0084497F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três provas individuais e escritas </w:t>
      </w:r>
    </w:p>
    <w:p w:rsidR="00E7082A" w:rsidRDefault="0084497F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dois trabalhos </w:t>
      </w:r>
    </w:p>
    <w:p w:rsidR="00E7082A" w:rsidRDefault="0084497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120" w:right="6340" w:hanging="20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Média: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30"/>
          <w:szCs w:val="30"/>
          <w:vertAlign w:val="superscript"/>
        </w:rPr>
        <w:t>P</w:t>
      </w:r>
      <w:r>
        <w:rPr>
          <w:rFonts w:ascii="Arial" w:hAnsi="Arial" w:cs="Arial"/>
          <w:sz w:val="12"/>
          <w:szCs w:val="12"/>
        </w:rPr>
        <w:t xml:space="preserve">1 </w:t>
      </w:r>
      <w:r>
        <w:rPr>
          <w:rFonts w:ascii="Symbol" w:hAnsi="Symbol" w:cs="Symbol"/>
          <w:sz w:val="30"/>
          <w:szCs w:val="30"/>
          <w:vertAlign w:val="superscript"/>
        </w:rPr>
        <w:t>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30"/>
          <w:szCs w:val="30"/>
          <w:vertAlign w:val="superscript"/>
        </w:rPr>
        <w:t>P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Symbol" w:hAnsi="Symbol" w:cs="Symbol"/>
          <w:sz w:val="30"/>
          <w:szCs w:val="30"/>
          <w:vertAlign w:val="superscript"/>
        </w:rPr>
        <w:t>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30"/>
          <w:szCs w:val="30"/>
          <w:vertAlign w:val="superscript"/>
        </w:rPr>
        <w:t>P</w:t>
      </w:r>
      <w:r>
        <w:rPr>
          <w:rFonts w:ascii="Arial" w:hAnsi="Arial" w:cs="Arial"/>
          <w:sz w:val="12"/>
          <w:szCs w:val="12"/>
        </w:rPr>
        <w:t xml:space="preserve">3 </w:t>
      </w:r>
      <w:r>
        <w:rPr>
          <w:rFonts w:ascii="Symbol" w:hAnsi="Symbol" w:cs="Symbol"/>
          <w:sz w:val="30"/>
          <w:szCs w:val="30"/>
          <w:vertAlign w:val="superscript"/>
        </w:rPr>
        <w:t>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30"/>
          <w:szCs w:val="30"/>
          <w:vertAlign w:val="superscript"/>
        </w:rPr>
        <w:t>0,5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Symbol" w:hAnsi="Symbol" w:cs="Symbol"/>
          <w:sz w:val="30"/>
          <w:szCs w:val="30"/>
          <w:vertAlign w:val="superscript"/>
        </w:rPr>
        <w:t>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30"/>
          <w:szCs w:val="30"/>
          <w:vertAlign w:val="superscript"/>
        </w:rPr>
        <w:t>T</w:t>
      </w:r>
      <w:r>
        <w:rPr>
          <w:rFonts w:ascii="Arial" w:hAnsi="Arial" w:cs="Arial"/>
          <w:sz w:val="12"/>
          <w:szCs w:val="12"/>
        </w:rPr>
        <w:t xml:space="preserve">1 </w:t>
      </w:r>
      <w:r>
        <w:rPr>
          <w:rFonts w:ascii="Symbol" w:hAnsi="Symbol" w:cs="Symbol"/>
          <w:sz w:val="30"/>
          <w:szCs w:val="30"/>
          <w:vertAlign w:val="superscript"/>
        </w:rPr>
        <w:t>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30"/>
          <w:szCs w:val="30"/>
          <w:vertAlign w:val="superscript"/>
        </w:rPr>
        <w:t>0,5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Symbol" w:hAnsi="Symbol" w:cs="Symbol"/>
          <w:sz w:val="30"/>
          <w:szCs w:val="30"/>
          <w:vertAlign w:val="superscript"/>
        </w:rPr>
        <w:t>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30"/>
          <w:szCs w:val="30"/>
          <w:vertAlign w:val="superscript"/>
        </w:rPr>
        <w:t>T</w:t>
      </w:r>
      <w:r>
        <w:rPr>
          <w:rFonts w:ascii="Arial" w:hAnsi="Arial" w:cs="Arial"/>
          <w:sz w:val="12"/>
          <w:szCs w:val="12"/>
        </w:rPr>
        <w:t xml:space="preserve">2 </w:t>
      </w:r>
      <w:r>
        <w:rPr>
          <w:rFonts w:ascii="Arial" w:hAnsi="Arial" w:cs="Arial"/>
          <w:sz w:val="16"/>
          <w:szCs w:val="16"/>
        </w:rPr>
        <w:t>4</w:t>
      </w:r>
    </w:p>
    <w:p w:rsidR="00E7082A" w:rsidRDefault="00D9133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187325</wp:posOffset>
            </wp:positionV>
            <wp:extent cx="6259195" cy="2200910"/>
            <wp:effectExtent l="19050" t="0" r="825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82A" w:rsidRDefault="0084497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BIBLIOGRAFIA PRINCIPAL: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E7082A" w:rsidRDefault="0084497F">
      <w:pPr>
        <w:widowControl w:val="0"/>
        <w:numPr>
          <w:ilvl w:val="0"/>
          <w:numId w:val="4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06" w:lineRule="auto"/>
        <w:ind w:left="120" w:hanging="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FRENCH, Thomas Ewing,; VIERCK, Charles J. </w:t>
      </w:r>
      <w:r>
        <w:rPr>
          <w:rFonts w:ascii="Times New Roman" w:hAnsi="Times New Roman" w:cs="Times New Roman"/>
          <w:i/>
          <w:iCs/>
          <w:sz w:val="24"/>
          <w:szCs w:val="24"/>
        </w:rPr>
        <w:t>Desenho técnico e tecnologia gráfica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São Paulo: Globo, 2005. 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356" w:lineRule="exact"/>
        <w:rPr>
          <w:rFonts w:ascii="Symbol" w:hAnsi="Symbol" w:cs="Symbol"/>
          <w:sz w:val="24"/>
          <w:szCs w:val="24"/>
        </w:rPr>
      </w:pPr>
    </w:p>
    <w:p w:rsidR="00E7082A" w:rsidRDefault="0084497F">
      <w:pPr>
        <w:widowControl w:val="0"/>
        <w:numPr>
          <w:ilvl w:val="0"/>
          <w:numId w:val="4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06" w:lineRule="auto"/>
        <w:ind w:left="120" w:hanging="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RIBEIRO, Cláudia Pimentel Bueno do Valle; PAPAZOGLOU, Rosarita Steil. </w:t>
      </w:r>
      <w:r>
        <w:rPr>
          <w:rFonts w:ascii="Times New Roman" w:hAnsi="Times New Roman" w:cs="Times New Roman"/>
          <w:i/>
          <w:iCs/>
          <w:sz w:val="24"/>
          <w:szCs w:val="24"/>
        </w:rPr>
        <w:t>Desenho técnico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para engenharias. </w:t>
      </w:r>
      <w:r>
        <w:rPr>
          <w:rFonts w:ascii="Times New Roman" w:hAnsi="Times New Roman" w:cs="Times New Roman"/>
          <w:sz w:val="24"/>
          <w:szCs w:val="24"/>
        </w:rPr>
        <w:t>Curitiba: Juruá Ed., 2008.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E7082A" w:rsidRDefault="0084497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BIBLIOGRAFIA DE APOIO: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E7082A" w:rsidRDefault="0084497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MANFE, Giovanni; POZZA, Rino; SCARATO, Giovani. </w:t>
      </w:r>
      <w:r>
        <w:rPr>
          <w:rFonts w:ascii="Times New Roman" w:hAnsi="Times New Roman" w:cs="Times New Roman"/>
          <w:i/>
          <w:iCs/>
          <w:sz w:val="24"/>
          <w:szCs w:val="24"/>
        </w:rPr>
        <w:t>Desenho técnico mecânico:</w:t>
      </w:r>
      <w:r>
        <w:rPr>
          <w:rFonts w:ascii="Times New Roman" w:hAnsi="Times New Roman" w:cs="Times New Roman"/>
          <w:sz w:val="24"/>
          <w:szCs w:val="24"/>
        </w:rPr>
        <w:t xml:space="preserve"> curso completo para as escolas técnicas e ciclo básico das faculdades de engenharia. São Paulo: Hemus, 2004.</w:t>
      </w:r>
    </w:p>
    <w:p w:rsidR="00E7082A" w:rsidRDefault="00E70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082A" w:rsidSect="00E7082A">
      <w:pgSz w:w="11906" w:h="16841"/>
      <w:pgMar w:top="945" w:right="1120" w:bottom="1440" w:left="10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4497F"/>
    <w:rsid w:val="0084497F"/>
    <w:rsid w:val="00D91339"/>
    <w:rsid w:val="00E7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5104011408</dc:creator>
  <cp:lastModifiedBy>5104011408</cp:lastModifiedBy>
  <cp:revision>2</cp:revision>
  <dcterms:created xsi:type="dcterms:W3CDTF">2015-04-24T22:27:00Z</dcterms:created>
  <dcterms:modified xsi:type="dcterms:W3CDTF">2015-04-24T22:27:00Z</dcterms:modified>
</cp:coreProperties>
</file>